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CBRL</w:t>
      </w:r>
      <w:r>
        <w:rPr>
          <w:rFonts w:ascii="Calibri" w:hAnsi="Calibri"/>
          <w:b/>
          <w:color w:val="1A2010"/>
          <w:sz w:val="40"/>
        </w:rPr>
        <w:t xml:space="preserve">  Cracker Barrel Old Country Store, Inc.</w:t>
      </w:r>
    </w:p>
    <w:p>
      <w:pPr>
        <w:spacing w:after="120"/>
      </w:pPr>
      <w:r>
        <w:rPr>
          <w:rFonts w:ascii="Calibri" w:hAnsi="Calibri"/>
          <w:b/>
          <w:color w:val="6E8450"/>
          <w:sz w:val="18"/>
        </w:rPr>
        <w:t>DIVIDEND SLEEVE · 2026-09-19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Cracker Barrel Old Country Store, Inc. operates a chain of approximately 660 restaurant and retail combination stores across 44 U.S. states, offering Southern-inspired home-style food and a country-themed retail shop. Founded in 1969 and headquartered in Lebanon, Tennessee, the company is undergoing a CEO transition, with Julie Masino stepping down August 10, 2026 and David Deno taking over. FY2026 Q3 total revenue was $797.4M (-2.9% YoY), with raised full-year guidance of $3.27-3.30B and adjusted EBITDA guidance of $120-125M (up from $85-100M). Market cap is approximately $1.0B.</w:t>
      </w:r>
    </w:p>
    <w:p>
      <w:r>
        <w:rPr>
          <w:rFonts w:ascii="Calibri" w:hAnsi="Calibri"/>
          <w:b/>
          <w:color w:val="6E8450"/>
          <w:sz w:val="18"/>
        </w:rPr>
        <w:t>70,000 Employees · https://www.crackerbarrel.com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Cracker Barrel has executed incremental menu refreshes and store remodel initiatives, including Heat n' Serve home meals and expanded catering, representing a modest product refresh but no transformative launch or business model pivot in the last 5 years [1]. The logo rebrand under CEO Julie Masino — removing Uncle Herschel — generated intense customer backlash and was partially reversed within 8 days, demonstrating execution risk in brand innovation [3]. AI Deployment (0/2): No AI-powered products, no AI-driven operational efficiencies reported. The company has not discussed AI strategy in earnings calls or press releases. Market Share (0/2): Cracker Barrel is a meaningful but not dominant participant in the family dining / casual restaurant segment. Revenue has declined 2.9% YoY in Q3 FY2026, suggesting share loss rather than gain in a competitive restaurant market [1]. Product Pipeline (0/2): Store remodels and menu innovation are ongoing but no specific next-generation product, format, or concept has been announced with defined timelines and revenue visibility. R&amp;D Intensity (0/1): Restaurants do not typically report R&amp;D spending. No disclosed innovation investment metrics.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Cracker Barrel's brand purpose centers on 'Pleasing People' through Southern hospitality, home-style food, and a distinctive country store experience. The concept is clear and differentiated from peers — no other restaurant chain replicates the combination of rocking chairs, country retail, and homestyle cooking [3]. However, the mission describes what the company does rather than articulating a deeper purpose that transcends the business. The logo controversy and CEO turnover suggest the purpose is not deeply guiding strategic decisions. Community Impact (0/2): No evidence of significant charitable programs, community investment, or foundation-level giving. The ESG report tracks workforce demographics and Business Resource Groups but does not highlight distinctive community impact [3]. Employee Retention (0/2): Glassdoor rating of 3.2/5 stars with only 51% of employees recommending the company to a friend, 6% below the restaurant industry average [2]. This suggests below-average employee engagement and retention.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Cracker Barrel's infrastructure is severely constrained by high leverage (D/E 246.7%, vs 70% target), razor-thin profitability (profit margin 0.79%, vs 20% target), weak ROE (5.6%, vs 15% target), and premium valuation (Forward P/E 41.0x, vs 20x target) that is unjustified by current earnings quality [1][4]. Revenue is declining (-2.9% YoY) with essentially flat 5-year CAGR of approximately -0.6%. The company's long dividend history (20+ years total, ~5 consecutive years since COVID reinstatement) provides partial support, but the dividend was cut from $5.20/year pre-COVID to $1.00/year currently, yielding a deeply negative 5-year dividend growth CAGR and 0 consecutive years of growth. Payout ratio of ~87% is elevated given thin profitability. The stock clears the liquidity floor with ~$41M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Cracker Barrel is predominantly a finite player, optimizing for survival rather than playing to keep playing. The company has cycled through strategic pivots — brand rebrand, menu refreshes, CEO changes — without a consistent guiding purpose that endures across leadership transitions. The logo controversy (removing then restoring Uncle Herschel within 8 days) exemplifies reactive, short-term management rather than courageous long-term thinking. The upcoming CEO transition from Julie Masino to David Deno is the second leadership change in recent years, suggesting strategic instability. The heritage brand identity provides some enduring purpose, but it is nostalgic rather than forward-looking.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Cracker Barrel has a brand identity rooted in Southern hospitality and bringing people together around home-style food, which is genuine and partially lived — the distinctive rocking-chair-and-country-store concept has endured for 50+ years [3]. However, the rapid logo reversal, CEO turnover, and reactive strategic decisions suggest the cause is not deeply guiding leadership decisions. The brand heritage is nostalgic rather than aspirational — it describes what Cracker Barrel has been, not a vision of a future state it is working toward. The upcoming CEO transition (Masino to Deno) is the second leadership change in recent years, raising questions about whether any cause survives leadership churn.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Cracker Barrel maintains a stable workforce of approximately 70,000 employees with long-tenured operational leaders (Doug Hisel promoted to SVP after 18 years at the company) [2]. CEO Masino's organizational restructuring aimed to 'reduce layers' and focus on food and guest experience, suggesting some empowerment philosophy. However, Glassdoor ratings of 3.2/5 and only 51% of employees recommending the company suggest average-at-best organizational trust. The CEO turnover (Masino departing after roughly 2 years) and the brand controversy create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Cracker Barrel's competitive discourse focuses on 'relevance' and 'revitalization' rather than learning from competitors' strengths. The company's strategic moves (logo rebrand, menu changes) appear driven by competitive anxiety about losing relevance to newer restaurant concepts rather than by thoughtful engagement with worthy rivals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Cracker Barrel has not fundamentally reinvented itself. The company has operated essentially the same restaurant-plus-retail concept since 1969. Menu updates, store remodels, and brand refreshes are incremental adaptations, not transformative pivots [1]. The failed logo rebrand suggests the company struggles to evolve even incrementally. There is no evidence of the kind of strategic boldness — abandoning a profitable business line in service of a higher purpose — that Sinek's framework rewards.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greater purpose. The logo rebrand was reversed within 8 days under customer pressure — the opposite of courageous long-term leadership [3]. The dividend was cut from $5.20 to $1.00 per year, but this was driven by financial necessity (high debt, thin margins) rather than principled investment in future capability. CEO transitions (two in recent years) suggest leadership instability rather than deliberate succession in service of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Cracker Barrel's Q3 FY2026 results showed early turnaround signs, with GAAP EPS of $1.90 (benefiting from a $47.4M interchange fee settlement) and significantly raised adjusted EBITDA guidance to $120-125M from $85-100M [1]. The stock surged 37.9% after Q3 results, suggesting the market sees improving fundamentals. The brand's 50+ year heritage, 660 locations, and distinctive restaurant-plus-retail concept provide a defensible niche in casual dining. The new CEO David Deno brings 40+ years of restaurant experience. The 2.22% dividend yield and Inspire Impact Score of 32 (ALIGNED) with no negative attributions make it acceptable for faith-based investors.</w:t>
      </w:r>
    </w:p>
    <w:p>
      <w:pPr>
        <w:spacing w:after="120"/>
      </w:pPr>
      <w:r>
        <w:rPr>
          <w:rFonts w:ascii="Calibri" w:hAnsi="Calibri"/>
          <w:b w:val="0"/>
          <w:color w:val="3A4A28"/>
          <w:sz w:val="20"/>
        </w:rPr>
        <w:t>The bear case is substantial. Revenue is declining (-2.9% YoY in Q3, -7.9% in Q2), profit margins are razor-thin (0.79%), and the balance sheet is highly leveraged (D/E 246.7%) [1][4]. The Q3 EPS beat was driven by a one-time $47.4M settlement, not operating improvement — excluding this, Q3 would have shown a net loss. Forward P/E of 41x is extreme for a restaurant chain with declining revenue and sub-1% margins. The dividend has been cut 81% from pre-COVID levels ($5.20 to $1.00), the 5-year dividend growth CAGR is deeply negative (-12.9%), and the 87% payout ratio leaves no safety margin. CEO turnover (Masino to Deno, the second transition in recent years) creates strategic uncertainty during a critical turnaround period [2]. The failed logo rebrand damaged customer trust and highlighted execution risk in the brand modernization strategy [3]. Cracker Barrel faces secular headwinds from shifting consumer preferences toward fast-casual, delivery-first, and health-conscious dining formats.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David Deno (starting August 10, 2026) with 40+ years of restaurant leadership could stabilize strategy and accelerate the operational turnaround, particularly if early menu and store remodel initiatives gain traction [2]</w:t>
      </w:r>
    </w:p>
    <w:p>
      <w:pPr>
        <w:spacing w:before="40" w:after="40"/>
        <w:ind w:left="283"/>
      </w:pPr>
      <w:r>
        <w:rPr>
          <w:rFonts w:ascii="Calibri" w:hAnsi="Calibri"/>
          <w:b/>
          <w:color w:val="4A6B25"/>
          <w:sz w:val="20"/>
        </w:rPr>
        <w:t xml:space="preserve">2. </w:t>
      </w:r>
      <w:r>
        <w:rPr>
          <w:rFonts w:ascii="Calibri" w:hAnsi="Calibri"/>
          <w:b w:val="0"/>
          <w:color w:val="3A4A28"/>
          <w:sz w:val="20"/>
        </w:rPr>
        <w:t>Raised adjusted EBITDA guidance ($120-125M, up from $85-100M) suggests cost restructuring and operational improvements are beginning to flow through, potentially restoring margins toward historical levels [1]</w:t>
      </w:r>
    </w:p>
    <w:p>
      <w:pPr>
        <w:spacing w:before="40" w:after="40"/>
        <w:ind w:left="283"/>
      </w:pPr>
      <w:r>
        <w:rPr>
          <w:rFonts w:ascii="Calibri" w:hAnsi="Calibri"/>
          <w:b/>
          <w:color w:val="4A6B25"/>
          <w:sz w:val="20"/>
        </w:rPr>
        <w:t xml:space="preserve">3. </w:t>
      </w:r>
      <w:r>
        <w:rPr>
          <w:rFonts w:ascii="Calibri" w:hAnsi="Calibri"/>
          <w:b w:val="0"/>
          <w:color w:val="3A4A28"/>
          <w:sz w:val="20"/>
        </w:rPr>
        <w:t>Interchange fee settlement ($47.4M) and potential additional legal recoveries could provide capital for debt reduction and reinvestment in the store remodel program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continues to decline (-2.9% Q3, -7.9% Q2 YoY) with no clear catalyst for traffic recovery, and the casual dining segment faces secular headwinds from fast-casual competition, delivery platforms, and changing consumer preferences [1]</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(D/E 246.7%) constrains strategic flexibility, with debt service consuming cash flow that could otherwise fund the turnaround or restore the dividend to pre-COVID levels [4]</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David Deno is the second CEO change in recent years, and strategic direction remains unclear as the brand oscillates between modernization (logo rebrand) and heritage preservation (logo reversal)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Cracker Barrel's core business — operating physical restaurants serving cooked food with in-person hospitality plus adjacent country retail stores — is structurally immune to AI disruption. AI cannot replace the physical-world operations of cooking, serving, and creating the distinctive Cracker Barrel dining atmosphere [1]. The business requires real estate, kitchen infrastructure, food supply chains, and human service staff that AI cannot substitute. No analysts have flagged AI as a meaningful disruption risk for Cracker Barrel's restaurant and retail model. AI may eventually enhance back-of-house operations (inventory management, demand forecasting, labor scheduling) but these are efficiency tools, not existential threats. The in-store retail component is physical point-of-sale merchandise that complements the dining experience. AI Opportunity (0/1): No AI-related revenue. The company does not generate any revenue from AI products or services and has not announced AI-driven initiatives that contribute to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Cracker Barrel Q3 FY2026 Earnings Release — Revenue $797.4M (-2.9% YoY), GAAP EPS $1.90 (includes $47.4M settlement), Raised EBITDA guidance to $120-125M, June 2026</w:t>
      </w:r>
    </w:p>
    <w:p>
      <w:pPr>
        <w:spacing w:before="20" w:after="20"/>
        <w:ind w:left="170"/>
      </w:pPr>
      <w:r>
        <w:rPr>
          <w:rFonts w:ascii="Calibri" w:hAnsi="Calibri"/>
          <w:b/>
          <w:color w:val="4A6B25"/>
          <w:sz w:val="15"/>
        </w:rPr>
        <w:t xml:space="preserve">2. </w:t>
      </w:r>
      <w:r>
        <w:rPr>
          <w:rFonts w:ascii="Calibri" w:hAnsi="Calibri"/>
          <w:b w:val="0"/>
          <w:color w:val="3A4A28"/>
          <w:sz w:val="17"/>
        </w:rPr>
        <w:t>Cracker Barrel Leadership Changes — David Deno appointed CEO effective August 10, 2026; Julie Masino stepping down; Doug Hisel promoted to SVP Operations (18-year tenure), Glassdoor 3.2/5 rating, 2026</w:t>
      </w:r>
    </w:p>
    <w:p>
      <w:pPr>
        <w:spacing w:before="20" w:after="20"/>
        <w:ind w:left="170"/>
      </w:pPr>
      <w:r>
        <w:rPr>
          <w:rFonts w:ascii="Calibri" w:hAnsi="Calibri"/>
          <w:b/>
          <w:color w:val="4A6B25"/>
          <w:sz w:val="15"/>
        </w:rPr>
        <w:t xml:space="preserve">3. </w:t>
      </w:r>
      <w:r>
        <w:rPr>
          <w:rFonts w:ascii="Calibri" w:hAnsi="Calibri"/>
          <w:b w:val="0"/>
          <w:color w:val="3A4A28"/>
          <w:sz w:val="17"/>
        </w:rPr>
        <w:t>Cracker Barrel Brand Controversy — Logo rebrand (Uncle Herschel removal) reversed in 8 days, ESG report workforce demographics, America First Legal investigation into hiring practices, Restaurant Dive,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CBRL Key Statistics: Forward P/E 41.0x, D/E 246.7%, ROE 5.6%, Profit Margin 0.79%, Stock Price $45.06,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