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CBSH</w:t>
      </w:r>
      <w:r>
        <w:rPr>
          <w:rFonts w:ascii="Calibri" w:hAnsi="Calibri"/>
          <w:b/>
          <w:color w:val="1A2010"/>
          <w:sz w:val="40"/>
        </w:rPr>
        <w:t xml:space="preserve">  Commerce Bancshares, Inc.</w:t>
      </w:r>
    </w:p>
    <w:p>
      <w:pPr>
        <w:spacing w:after="120"/>
      </w:pPr>
      <w:r>
        <w:rPr>
          <w:rFonts w:ascii="Calibri" w:hAnsi="Calibri"/>
          <w:b/>
          <w:color w:val="6E8450"/>
          <w:sz w:val="18"/>
        </w:rPr>
        <w:t>GROWTH SLEEVE · 2026-09-21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NASDAQ · United States</w:t>
      </w:r>
    </w:p>
    <w:p>
      <w:pPr>
        <w:spacing w:after="80"/>
      </w:pPr>
      <w:r>
        <w:rPr>
          <w:rFonts w:ascii="Calibri" w:hAnsi="Calibri"/>
          <w:b w:val="0"/>
          <w:color w:val="3A4A28"/>
          <w:sz w:val="20"/>
        </w:rPr>
        <w:t>Commerce Bancshares is the bank holding company for Commerce Bank, providing retail, mortgage banking, corporate, investment, trust, and asset management products and services. Operating through Retail Banking, Commercial, and Wealth segments, the company serves individuals and businesses primarily across Missouri, Kansas, Illinois, Oklahoma, and Colorado. Founded in 1865, Commerce Bank has operated for over 160 years with 57 consecutive years of dividend increases — among the longest streaks in the banking industry. Q2 2026 EPS of $1.10 with expanding NIM and strong credit quality. Market cap approximately $8.2B.</w:t>
      </w:r>
    </w:p>
    <w:p>
      <w:r>
        <w:rPr>
          <w:rFonts w:ascii="Calibri" w:hAnsi="Calibri"/>
          <w:b/>
          <w:color w:val="6E8450"/>
          <w:sz w:val="18"/>
        </w:rPr>
        <w:t>4,976 Employees · https://www.commercebank.com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Commerce Bancshares has delivered steady conservative growth without transformative product launches or business model pivots. The FineMark National Banker acquisition in FY2025 expanded wealth management capabilities and geographic reach into Florida, and Q2 2026 revenue grew with NIM expanding to 3.77% [1]. However, the company has executed as a traditional regional bank without category-defining innovation. AI Deployment (1/2): Commerce Bank has invested in digital transformation through a dedicated Enterprise Digital Strategy team led by SVP Derrick Brooks, encompassing digital innovation, marketing, and user experience across retail, wealth, and commercial lines [2]. However, no specific AI-powered products shipping to customers or quantified AI-driven cost savings have been publicly reported. Market Share (1/2): Commerce Bank holds meaningful market share in its core Midwest markets (Missouri, Kansas, Illinois, Oklahoma, Colorado) with a high-quality deposit franchise, $4.16B in cash, and trust fees growing 10.3% YoY in Q2 2026 driven by private client fees [1][4]. However, it remains a mid-sized regional bank without national scale. Product Pipeline (0/2): No significant next-generation product launches with specific timelines or revenue visibility have been announced beyond standard digital banking enhancements and continued FineMark integration. R&amp;D Intensity (1/1): The bank invests in technology and digital capabilities with dedicated innovation and digital strategy leadership positions, reflecting above-average commitment for a regional bank of its size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CEO John Kemper emphasizes 'sound strategy and disciplined execution' and running an 'all-weather business,' reflecting thoughtful intentionality about the bank's role in its communities [1]. Commerce Bank's core values — having a long-term view, collaborating as one team, acting with integrity, being customer focused, and striving for excellence — are genuine and have guided the institution across generations. However, these values are not distinctively aspirational beyond strong regional bank norms. Community Impact (1/2): Commerce Bank has operated for over 160 years in Midwest communities, representing deep multi-generational institutional commitment. The bank maintains community banking relationships and CRA-mandated community investment. The Kemper family's sustained involvement demonstrates local stewardship. However, no specific charitable programs with dollar amounts or distinctive community initiatives were identified beyond standard banking community engagement [2]. Employee Retention (1/2): The Kemper family leadership continuity — David Kemper as Executive Chairman and John Kemper as CEO (since 2018, joined in 2007 from McKinsey, rose through multiple internal roles) — reflects exceptional organizational stability and internal talent development [2]. However, specific employee retention, turnover, or tenure data is not publicly available for the approximately 4,976 employees. Insider Buying (0/2): The Kemper family holds legacy equity positions across generations, but no evidence of meaningful net open-market insider buying in the last 12 months was identified. Legacy ownership is not the same as recent buying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sleeve (dividend yield of 1.93% is below the 2% threshold for Dividend classification despite 57 consecutive years of increases). D/E excluded as not applicable for bank holding companies [4]. ROE of 14.7% is just below the 15% target, scoring 0.979 at 2x Growth weight — reflecting disciplined but conservative bank returns [4]. Revenue growth YoY of 14.2% exceeds the 10% target, scoring 1.0, driven by FineMark acquisition contribution, NIM expansion to 3.77%, and trust fee growth of 10.3% [1]. Revenue 5yr CAGR of ~5% scores 0.667 at 2x weight. Forward P/E of 12.5x is well below the 20 target, scoring 1.0 — representing attractive valuation for a high-quality regional bank [4]. Profit margin of 31.6% significantly exceeds the 20% target, scoring 1.0, reflecting Commerce Bank's disciplined expense management and fee revenue diversification [1]. PEG of 2.06 scores 0.47 at 2x weight, reflecting modest EPS growth expectations (H1 2026 EPS of $2.06 vs. $2.02 in H1 2025). Liquidity floor cleared: 1.10M avg volume x $57.28 = $63.0M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Commerce Bancshares exemplifies endurance-oriented banking through its 160+ year operating history, multi-generational Kemper family leadership, and conservative 'all-weather business' philosophy validated through the Great Depression, 2008 financial crisis, and COVID-19. The 57-year dividend growth streak is among the longest in the industry. Q2 2026 results — expanding NIM, strong credit quality, and trust fee growth — validate the disciplined approach. However, the bank lacks the bold strategic pivots and transformative Just Cause that characterize the strongest infinite game players — institutional conservatism is both its strength and its limitation in Sinek's framework.</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Commerce Bank's cause — being an enduring financial institution that serves Midwest communities across generations — has been validated by over 160 years of continuous operation, surviving the Civil War, Great Depression, multiple banking crises, and 2008 financial crisis without cutting its dividend [1]. The Kemper family's multi-generational involvement (David Kemper as Executive Chairman, John Kemper as CEO) demonstrates purpose that transcends any single leader. CEO Kemper's 'all-weather business' language reflects genuine endurance thinking. However, the cause is about institutional preservation and community service rather than a transformative vision of a better future — admirable but not a Just Cause that 'can never be fully achieved.'</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Commerce Bank demonstrates exceptional organizational trust through its multi-generational Kemper family leadership — David Kemper as Executive Chairman and John Kemper as CEO since 2018, having joined in 2007 from McKinsey and risen through multiple internal roles before succeeding his predecessor [2]. This internal development pathway demonstrates an organization that cultivates and trusts its talent. The bank's 160+ year survival through multiple existential crises demonstrates deeply resilient institutional culture. The ESG Management Committee and cross-functional working groups reflect collaborative governance structures [3].</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Commerce Bank competes alongside larger national banks (JPMorgan, Bank of America) and regional peers without framing competition in destructive terms. CEO Kemper's 'all-weather business' language focuses on the bank's own resilience, credit discipline, and service quality rather than defeating competitors [1]. The FineMark acquisition demonstrated willingness to partner with and integrate another well-run institution rather than engaging in hostile competitive behavior. The competitive approach emphasizes self-improvement and differentiation through quality service.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Commerce Bank has operated essentially the same community banking business model for over 160 years. While the FineMark acquisition expands geographic reach and the digital strategy team reflects technology adaptation, these are incremental evolutions of the core banking franchise [1]. The bank has never abandoned a profitable business line or made a dramatic strategic pivot. In Sinek's framework, this reflects institutional conservatism — the antithesis of existential flexibility, even if it has produced excellent long-term results.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Commerce Bancshares has demonstrated courage through its commitment to conservative credit underwriting when peers pursued aggressive growth strategies — maintaining excellent credit quality through multiple credit cycles. The 57-year unbroken dividend growth streak through the Great Recession, when many banks cut dividends, required disciplined capital allocation under pressure [1]. The FineMark acquisition expanded into new markets while preserving the conservative philosophy. However, these are measured, incremental decisions reflecting institutional discipline rather than the costly transformative bets that Sinek's framework rewards most highly.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Commerce Bancshares is among the most conservatively managed regional banks in the country, delivering Q2 2026 EPS of $1.10 with NIM expanding to 3.77%, trust fees growing 10.3% YoY to $62.2M, excellent credit quality, and return on assets of 1.84% [1]. At 12.5x forward earnings with 31.6% profit margin, $4.16B in cash, and the crown jewel 57-year consecutive dividend growth streak, CBSH offers a rare combination of quality, value, and capital return discipline [4]. The Kemper family's multi-generational stewardship and 160+ year operating history provide institutional stability genuinely rare in banking. Revenue growth of 14.2% YoY, driven by FineMark integration and organic NIM expansion, demonstrates that conservative management and growth are not mutually exclusive.</w:t>
      </w:r>
    </w:p>
    <w:p>
      <w:pPr>
        <w:spacing w:after="120"/>
      </w:pPr>
      <w:r>
        <w:rPr>
          <w:rFonts w:ascii="Calibri" w:hAnsi="Calibri"/>
          <w:b w:val="0"/>
          <w:color w:val="3A4A28"/>
          <w:sz w:val="20"/>
        </w:rPr>
        <w:t>The bear case centers on limited growth potential and structural challenges facing mid-size regional banks. H1 2026 EPS of $2.06 was barely up from $2.02 despite double-digit revenue growth, suggesting acquisition dilution and constrained earnings leverage — PEG of 2.06 reflects the market's view that EPS growth is fundamentally limited [4]. The dividend yield of 1.93% has fallen below 2% due to stock price appreciation, and the 5yr dividend growth CAGR of approximately 4% lags inflation-adjusted targets despite 57 consecutive years of increases. Regional banks face secular pressure from AI-enabled fintech competitors and digital banking platforms — McKinsey warns that 'gen AI agents threaten retail banks' customer relationships' — and Commerce Bank's moderate scale limits its ability to invest in AI defenses at the pace of money-center banks [3]. The stock has underperformed its sector, and the 5yr revenue CAGR of ~5% caps the long-term growth trajectory. The Inspire Impact Score of -49 (MISALIGNED) may restrict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FineMark acquisition integration driving 14.2% revenue growth with expansion of wealth management and trust capabilities into Florida, adding private client fee revenue to an already diversified income stream [1]</w:t>
      </w:r>
    </w:p>
    <w:p>
      <w:pPr>
        <w:spacing w:before="40" w:after="40"/>
        <w:ind w:left="283"/>
      </w:pPr>
      <w:r>
        <w:rPr>
          <w:rFonts w:ascii="Calibri" w:hAnsi="Calibri"/>
          <w:b/>
          <w:color w:val="4A6B25"/>
          <w:sz w:val="20"/>
        </w:rPr>
        <w:t xml:space="preserve">2. </w:t>
      </w:r>
      <w:r>
        <w:rPr>
          <w:rFonts w:ascii="Calibri" w:hAnsi="Calibri"/>
          <w:b w:val="0"/>
          <w:color w:val="3A4A28"/>
          <w:sz w:val="20"/>
        </w:rPr>
        <w:t>NIM expansion to 3.77% with continued trust fee momentum (+10.3% YoY) and deposit cost optimization provide multiple levers for earnings growth even in a flattening rate environment [1]</w:t>
      </w:r>
    </w:p>
    <w:p>
      <w:pPr>
        <w:spacing w:before="40" w:after="40"/>
        <w:ind w:left="283"/>
      </w:pPr>
      <w:r>
        <w:rPr>
          <w:rFonts w:ascii="Calibri" w:hAnsi="Calibri"/>
          <w:b/>
          <w:color w:val="4A6B25"/>
          <w:sz w:val="20"/>
        </w:rPr>
        <w:t xml:space="preserve">3. </w:t>
      </w:r>
      <w:r>
        <w:rPr>
          <w:rFonts w:ascii="Calibri" w:hAnsi="Calibri"/>
          <w:b w:val="0"/>
          <w:color w:val="3A4A28"/>
          <w:sz w:val="20"/>
        </w:rPr>
        <w:t>Forward P/E of 12.5x with 57-year dividend growth streak and conservative 26.6% payout ratio provides deep value floor and ample room for continued dividend increases and share buybacks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Anemic EPS growth — H1 2026 EPS of $2.06 vs. $2.02 despite 14.2% revenue growth suggests FineMark acquisition dilution and integration costs are absorbing revenue gains, with PEG of 2.06 reflecting limited earnings growth expectations [1][4]</w:t>
      </w:r>
    </w:p>
    <w:p>
      <w:pPr>
        <w:spacing w:before="40" w:after="40"/>
        <w:ind w:left="283"/>
      </w:pPr>
      <w:r>
        <w:rPr>
          <w:rFonts w:ascii="Calibri" w:hAnsi="Calibri"/>
          <w:b/>
          <w:color w:val="4A6B25"/>
          <w:sz w:val="20"/>
        </w:rPr>
        <w:t xml:space="preserve">2. </w:t>
      </w:r>
      <w:r>
        <w:rPr>
          <w:rFonts w:ascii="Calibri" w:hAnsi="Calibri"/>
          <w:b w:val="0"/>
          <w:color w:val="3A4A28"/>
          <w:sz w:val="20"/>
        </w:rPr>
        <w:t>AI-enabled fintech disruption — McKinsey warns gen AI agents threaten retail banking relationships, and Commerce Bank's mid-size scale ($8.2B market cap) limits its ability to invest in AI defenses at the pace of JPMorgan or Bank of America [3]</w:t>
      </w:r>
    </w:p>
    <w:p>
      <w:pPr>
        <w:spacing w:before="40" w:after="40"/>
        <w:ind w:left="283"/>
      </w:pPr>
      <w:r>
        <w:rPr>
          <w:rFonts w:ascii="Calibri" w:hAnsi="Calibri"/>
          <w:b/>
          <w:color w:val="4A6B25"/>
          <w:sz w:val="20"/>
        </w:rPr>
        <w:t xml:space="preserve">3. </w:t>
      </w:r>
      <w:r>
        <w:rPr>
          <w:rFonts w:ascii="Calibri" w:hAnsi="Calibri"/>
          <w:b w:val="0"/>
          <w:color w:val="3A4A28"/>
          <w:sz w:val="20"/>
        </w:rPr>
        <w:t>Interest rate sensitivity — NIM of 3.77% has benefited from favorable rate positioning, but a rapid rate decline could compress margins while credit quality may deteriorate in a Midwest economic downturn affecting commercial borrowers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Commerce Bank's core business — relationship-based community banking, commercial lending, trust and wealth management, and retail deposit services — has strong structural protection from AI disruption [2]. The Midwest community banking model relies on decades-deep local relationships, physical branch networks across five states, and regulatory barriers (FDIC, OCC, Federal Reserve oversight) that AI cannot easily replicate. Trust and wealth management services involve fiduciary relationships with high switching costs and regulatory complexity. The 160+ year operating history represents institutional knowledge and customer relationships that are not digitizable. However, retail banking functions face growing pressure from AI-powered fintech competitors offering digital lending, robo-advisory, and personalized services at scale, and Commerce Bank's moderate size ($8.2B market cap) limits its ability to invest in AI at the pace of money-center banks [3]. AI Opportunity (0/1): Commerce Bank does not generate meaningful revenue from AI products. While the bank invests in digital transformation through its Enterprise Digital Strategy team, no specific AI-driven revenue or quantified efficiency gains have been publicly reported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Commerce Bancshares Q2 2026 Earnings — EPS $1.10, H1 EPS $2.06, NIM 3.77%, ROA 1.84%, Trust Fees +10.3% YoY, Revenue Growth 14.2%, Excellent Credit Quality; BusinessWire and SEC 8-K, July 2026</w:t>
      </w:r>
    </w:p>
    <w:p>
      <w:pPr>
        <w:spacing w:before="20" w:after="20"/>
        <w:ind w:left="170"/>
      </w:pPr>
      <w:r>
        <w:rPr>
          <w:rFonts w:ascii="Calibri" w:hAnsi="Calibri"/>
          <w:b/>
          <w:color w:val="4A6B25"/>
          <w:sz w:val="15"/>
        </w:rPr>
        <w:t xml:space="preserve">2. </w:t>
      </w:r>
      <w:r>
        <w:rPr>
          <w:rFonts w:ascii="Calibri" w:hAnsi="Calibri"/>
          <w:b w:val="0"/>
          <w:color w:val="3A4A28"/>
          <w:sz w:val="17"/>
        </w:rPr>
        <w:t>Commerce Bancshares Leadership and Culture — CEO John Kemper (Since 2018), Executive Chairman David Kemper, SVP Derrick Brooks (Enterprise Digital Strategy), Kemper Family Multi-Generational Ownership, 160+ Year History; commercebank.com and Craft.co, 2026</w:t>
      </w:r>
    </w:p>
    <w:p>
      <w:pPr>
        <w:spacing w:before="20" w:after="20"/>
        <w:ind w:left="170"/>
      </w:pPr>
      <w:r>
        <w:rPr>
          <w:rFonts w:ascii="Calibri" w:hAnsi="Calibri"/>
          <w:b/>
          <w:color w:val="4A6B25"/>
          <w:sz w:val="15"/>
        </w:rPr>
        <w:t xml:space="preserve">3. </w:t>
      </w:r>
      <w:r>
        <w:rPr>
          <w:rFonts w:ascii="Calibri" w:hAnsi="Calibri"/>
          <w:b w:val="0"/>
          <w:color w:val="3A4A28"/>
          <w:sz w:val="17"/>
        </w:rPr>
        <w:t>Commerce Bancshares ESG Practices — ESG Management Committee, Cross-Functional Working Groups, Core Values Alignment, No Significant Controversies Identified; SEC DEF 14A and Sustainalytics, 2023-2026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CBSH Key Statistics: Stock Price $57.28, Forward P/E 12.53, ROE 14.69%, Profit Margin 31.64%, Dividend Yield 1.93%, PEG 2.06, Avg Volume 1.08M, 4,976 Employees,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