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CBZ</w:t>
      </w:r>
      <w:r>
        <w:rPr>
          <w:rFonts w:ascii="Calibri" w:hAnsi="Calibri"/>
          <w:b/>
          <w:color w:val="1A2010"/>
          <w:sz w:val="40"/>
        </w:rPr>
        <w:t xml:space="preserve">  CBIZ, Inc.</w:t>
      </w:r>
    </w:p>
    <w:p>
      <w:pPr>
        <w:spacing w:after="120"/>
      </w:pPr>
      <w:r>
        <w:rPr>
          <w:rFonts w:ascii="Calibri" w:hAnsi="Calibri"/>
          <w:b/>
          <w:color w:val="6E8450"/>
          <w:sz w:val="18"/>
        </w:rPr>
        <w:t>GROWTH SLEEVE · 2026-09-26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CBIZ, Inc. provides financial, insurance, and advisory services in the United States and Canada through Financial Services (accounting, tax, financial advisory), Benefits and Insurance Services (employee benefits consulting, payroll, P&amp;C insurance), and National Practices (managed IT) segments, primarily serving small and medium-sized businesses. The November 2024 acquisition of Marcum LLP roughly doubled the company's scale, driving FY2025 revenue to $2.76B (up 52%). In July 2026, CBIZ agreed to be acquired by Grant Thornton Advisors (backed by New Mountain Capital) for $55.00 per share in an all-cash transaction valuing the company at approximately $5 billion, expected to close in Q4 2026 pending shareholder and regulatory approval. Headquartered in Independence, Ohio.</w:t>
      </w:r>
    </w:p>
    <w:p>
      <w:r>
        <w:rPr>
          <w:rFonts w:ascii="Calibri" w:hAnsi="Calibri"/>
          <w:b/>
          <w:color w:val="6E8450"/>
          <w:sz w:val="18"/>
        </w:rPr>
        <w:t>9,500 Employees · https://www.cbiz.com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The November 2024 Marcum LLP acquisition transformed CBIZ from a regional middle-market advisor into one of the largest full-service professional services platforms in the US, driving revenue from $1.81B (FY2024) to $2.76B (FY2025), a 52% increase, with Q3 2025 revenue up 58.1% YoY [1]. The subsequent $5B acquisition offer from Grant Thornton validates that the integrated platform created real strategic value. AI Deployment (1/2): CBIZ is expanding its AI partnership with Microsoft to drive productivity, insight, and talent development, and 2026 guidance explicitly cites 'integration and AI' as strategic priorities, but no specific dollar figures for AI-driven savings or AI products sold to clients have been disclosed [1][2]. Market Share (2/2): Post-Marcum, CBIZ is described as the largest full-service professional services advisor of its kind in the US middle market, and the pending Grant Thornton deal would create the fifth-largest professional services firm in the country — a specific, sourced leadership claim [1][3]. Product Pipeline (0/2): No next-generation service offerings with specific timelines were identified; 2026 plans center on completing Marcum integration rather than new product launches [1]. R&amp;D Intensity (0/1): As a professional services firm, CBIZ does not report R&amp;D spend comparable to technology or manufacturing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CBIZ's stated purpose — 'to help organizations grow and succeed through insight, expertise, and accountable execution, while creating meaningful opportunities for our people and positive impact in the communities we serve' — is clear and references employees and community, but is functionally interchangeable with any professional services firm's messaging and is not validated by any highlighted decade-long track record [2]. Community Impact (0/2): No evidence of a distinctive charitable foundation, dollar-quantified giving, or community investment program was found beyond a generic sustainability policy covering electronic records management and energy-efficient equipment. Employee Retention (0/2): Glassdoor rates CBIZ 3.4/5 across 1,191 reviews, with culture and values ratings down 7% over the past year; reviews cite low morale, minimal investment in professional development, dismissed employee concerns, and 'major micromanagement' [2]. Insider Buying (0/2): Recent Form 4 filings show net insider selling — CFO Brad Lakhia disposed of 5,813 shares in September 2026, and Director Benaree Pratt Wiley sold 17,956 shares (45.7% of her holdings) in March 2026, a proportion the Motley Fool flagged as notably high, prompting the headline 'CBIZ Insider Sale: Trust Move or Warning Sign?'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102.1% reflects the $1.9B in debt taken on to fund the Marcum acquisition (score 0.86, 1x). ROE of 6.5% sits well below the 15% target (score 0.43, 2x weight), depressed by acquisition-related amortization. Revenue growth YoY is roughly flat at -0.2% (score 0.66) as the year-ago comparison now includes Marcum, though 2026 guidance calls for 2-5% growth; the 3-year revenue CAGR of ~25% (2022-2025) driven by the Marcum deal caps at a perfect score (2x weight). Forward P/E of 12.87 (score capped at 1.0) and Forward PEG of 1.22 (score 0.89, 2x weight) are both attractive, aided by the stock trading close to the pending $55.00/share acquisition price. Profit margin of 4.41% is thin and characteristic of professional services (score 0.22). Daily dollar volume of ~$72M provides ample liquidity, clearing the $1M floor with room to spare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CBIZ's own trajectory — a debt-funded acquisition to double scale, followed less than two years later by a definitive $5 billion all-cash sale to Grant Thornton — is close to a textbook finite game arc: build enterprise value, then exit. The declining Glassdoor culture scores, pattern of net insider selling, and generic purpose statement reinforce that this is a company optimized for a transaction rather than built to endure independently. The Marcum bet itself showed real strategic courage, but its ultimate purpose was shareholder liquidity, not the advancement of a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CBIZ's purpose statement references helping clients, employees, and communities, but it reads as standard professional-services language rather than a resilient, idealistic cause that shapes strategy [2]. The company's own actions confirm this: having built a national platform through the Marcum acquisition, leadership agreed to sell the entire company to Grant Thornton for $5 billion, which is the definition of playing to win an endgame rather than playing to keep playing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3.4/5 rating with a 7% year-over-year decline in culture and values, combined with reviews describing dismissed employee concerns, poor professional development, and 'major micromanagement,' point to a low-trust environment rather than a psychologically safe one [2]. The pending acquisition is also likely to be adding organizational uncertainty for the 9,500-person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CBIZ's public positioning emphasizes being 'the largest full-service professional services advisor of its kind' rather than referencing what it learns from competitors [1]. No evidence was found of leadership framing competition as a source of self-improvement rather than a market-share contest.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Marcum acquisition materially reshaped CBIZ's scale and capability set, moving it from a regional advisor to a national platform in a single transaction [1]. This is meaningful adaptation, but it was additive (buying capacity) rather than a transformation of the underlying business model, which remains fee-for-service professional advisory 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Taking on roughly $1.9B in debt to fund the Marcum acquisition was a genuinely bold bet that reshaped the company's risk profile and depressed near-term ROE and margins in service of long-term scale [1]. However, the subsequent decision to sell the combined entity to Grant Thornton within about two years suggests the bet was ultimately in service of a near-term liquidity event rather than durable, independent capability-building.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CBIZ's investment case is now effectively a merger-arbitrage situation: Grant Thornton Advisors (backed by New Mountain Capital) agreed in July 2026 to acquire the company for $55.00/share in cash, a deal unanimously approved by the CBIZ board and expected to close in Q4 2026 [3]. With the stock trading at $54.68 — within roughly 0.6% of the deal price — the market is pricing high confidence in closing, while the Marcum LLP acquisition that preceded the deal drove FY2025 revenue to $2.76B (up 52%) and created the platform Grant Thornton is paying $5B to acquire [1]. Forward P/E of 12.87 and Forward PEG of 1.22 remain reasonable, and 2026 guidance calls for 2-5% organic revenue growth alongside continued AI-driven productivity investment through the Microsoft partnership [1][2].</w:t>
      </w:r>
    </w:p>
    <w:p>
      <w:pPr>
        <w:spacing w:after="120"/>
      </w:pPr>
      <w:r>
        <w:rPr>
          <w:rFonts w:ascii="Calibri" w:hAnsi="Calibri"/>
          <w:b w:val="0"/>
          <w:color w:val="3A4A28"/>
          <w:sz w:val="20"/>
        </w:rPr>
        <w:t>The bear case centers on deal risk and underlying culture/quality concerns. If the Grant Thornton transaction fails to close — due to shareholder rejection, financing issues, or regulatory delay — CBIZ would be left standalone with $1.9B in acquisition debt, a D/E of 102%, ROE of just 6.5%, and revenue growth that has gone essentially flat (-0.2% YoY) now that Marcum is inside the year-ago comparison [1]. Glassdoor culture and values ratings have declined 7% over the past year amid complaints of micromanagement and dismissed employee concerns, and a director's sale of nearly half her CBIZ holdings in March 2026 drew explicit scrutiny as a potential 'warning sign' [2][4]. The core accounting, tax, and payroll businesses face genuine medium-term AI disruption risk as automated bookkeeping and tax-prep tools mature, which is a headwind Grant Thornton will inherit regardless of deal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$55.00/share, ~$5B all-cash acquisition by Grant Thornton Advisors, expected to close in Q4 2026 following the board's unanimous approval and a go-shop period that ended August 27, 2026 [3]</w:t>
      </w:r>
    </w:p>
    <w:p>
      <w:pPr>
        <w:spacing w:before="40" w:after="40"/>
        <w:ind w:left="283"/>
      </w:pPr>
      <w:r>
        <w:rPr>
          <w:rFonts w:ascii="Calibri" w:hAnsi="Calibri"/>
          <w:b/>
          <w:color w:val="4A6B25"/>
          <w:sz w:val="20"/>
        </w:rPr>
        <w:t xml:space="preserve">2. </w:t>
      </w:r>
      <w:r>
        <w:rPr>
          <w:rFonts w:ascii="Calibri" w:hAnsi="Calibri"/>
          <w:b w:val="0"/>
          <w:color w:val="3A4A28"/>
          <w:sz w:val="20"/>
        </w:rPr>
        <w:t>Continued Marcum integration synergies and cross-selling across the combined national platform, supporting 2026 guidance of $2.8-$2.9B revenue (2-5% growth) and adjusted EPS of $3.75-$3.85 [1]</w:t>
      </w:r>
    </w:p>
    <w:p>
      <w:pPr>
        <w:spacing w:before="40" w:after="40"/>
        <w:ind w:left="283"/>
      </w:pPr>
      <w:r>
        <w:rPr>
          <w:rFonts w:ascii="Calibri" w:hAnsi="Calibri"/>
          <w:b/>
          <w:color w:val="4A6B25"/>
          <w:sz w:val="20"/>
        </w:rPr>
        <w:t xml:space="preserve">3. </w:t>
      </w:r>
      <w:r>
        <w:rPr>
          <w:rFonts w:ascii="Calibri" w:hAnsi="Calibri"/>
          <w:b w:val="0"/>
          <w:color w:val="3A4A28"/>
          <w:sz w:val="20"/>
        </w:rPr>
        <w:t>Expanded Microsoft AI partnership improving internal productivity across audit, tax, and advisory delivery, potentially offsetting margin pressure from AI-driven competition in commoditized services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Deal-break risk — failure of the Grant Thornton acquisition to close (shareholder vote, financing, or regulatory hurdles) would leave CBIZ standalone with ~$1.9B in Marcum-related debt, 102% D/E, and 6.5% ROE, and the stock would likely reprice well below the $55.00 deal price [1][3]</w:t>
      </w:r>
    </w:p>
    <w:p>
      <w:pPr>
        <w:spacing w:before="40" w:after="40"/>
        <w:ind w:left="283"/>
      </w:pPr>
      <w:r>
        <w:rPr>
          <w:rFonts w:ascii="Calibri" w:hAnsi="Calibri"/>
          <w:b/>
          <w:color w:val="4A6B25"/>
          <w:sz w:val="20"/>
        </w:rPr>
        <w:t xml:space="preserve">2. </w:t>
      </w:r>
      <w:r>
        <w:rPr>
          <w:rFonts w:ascii="Calibri" w:hAnsi="Calibri"/>
          <w:b w:val="0"/>
          <w:color w:val="3A4A28"/>
          <w:sz w:val="20"/>
        </w:rPr>
        <w:t>AI disruption of core accounting, tax preparation, and payroll/HR processing — the commoditized end of CBIZ's service mix is directly exposed to automated bookkeeping and AI-driven compliance tools maturing across the industry [2]</w:t>
      </w:r>
    </w:p>
    <w:p>
      <w:pPr>
        <w:spacing w:before="40" w:after="40"/>
        <w:ind w:left="283"/>
      </w:pPr>
      <w:r>
        <w:rPr>
          <w:rFonts w:ascii="Calibri" w:hAnsi="Calibri"/>
          <w:b/>
          <w:color w:val="4A6B25"/>
          <w:sz w:val="20"/>
        </w:rPr>
        <w:t xml:space="preserve">3. </w:t>
      </w:r>
      <w:r>
        <w:rPr>
          <w:rFonts w:ascii="Calibri" w:hAnsi="Calibri"/>
          <w:b w:val="0"/>
          <w:color w:val="3A4A28"/>
          <w:sz w:val="20"/>
        </w:rPr>
        <w:t>Deteriorating employee sentiment (Glassdoor culture/values down 7% YoY, complaints of micromanagement) combined with net insider selling, including a director's sale of 45.7% of her holdings, raise questions about organizational health independent of the pending deal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CBIZ's core accounting, tax preparation, and payroll/HR administration work — a substantial share of the Financial Services and National Practices segments — faces real substitution risk from AI-driven bookkeeping, automated tax preparation, and cloud HR platforms that are already reshaping the industry [2]. However, the middle-market advisory relationships, regulatory-mandated audit work, and benefits/insurance brokerage business (which depends on licensed relationships and complex plan design) carry more defensible moats against pure AI substitution, keeping the company out of the most vulnerable tier. AI Opportunity (0/1): CBIZ is deploying AI internally through its expanded Microsoft partnership for productivity and talent development, but has not disclosed any quantified AI-driven revenue or client-facing AI product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CBIZ Q3/Q4 FY2025 and Q1 2026 Earnings Releases and FY2026 Guidance — SEC Form 8-K, CBIZ Investor Relations, Seeking Alpha, 2025-2026</w:t>
      </w:r>
    </w:p>
    <w:p>
      <w:pPr>
        <w:spacing w:before="20" w:after="20"/>
        <w:ind w:left="170"/>
      </w:pPr>
      <w:r>
        <w:rPr>
          <w:rFonts w:ascii="Calibri" w:hAnsi="Calibri"/>
          <w:b/>
          <w:color w:val="4A6B25"/>
          <w:sz w:val="15"/>
        </w:rPr>
        <w:t xml:space="preserve">2. </w:t>
      </w:r>
      <w:r>
        <w:rPr>
          <w:rFonts w:ascii="Calibri" w:hAnsi="Calibri"/>
          <w:b w:val="0"/>
          <w:color w:val="3A4A28"/>
          <w:sz w:val="17"/>
        </w:rPr>
        <w:t>CBIZ Culture (Glassdoor), Leadership, and Microsoft AI Partnership — Glassdoor.com, CBIZ.com,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Grant Thornton Advisors to Acquire CBIZ for $5 Billion — CBIZ Investor Relations, Grant Thornton press release, SEC Form DEFA14A, July-September 2026</w:t>
      </w:r>
    </w:p>
    <w:p>
      <w:pPr>
        <w:spacing w:before="20" w:after="20"/>
        <w:ind w:left="170"/>
      </w:pPr>
      <w:r>
        <w:rPr>
          <w:rFonts w:ascii="Calibri" w:hAnsi="Calibri"/>
          <w:b/>
          <w:color w:val="4A6B25"/>
          <w:sz w:val="15"/>
        </w:rPr>
        <w:t xml:space="preserve">4. </w:t>
      </w:r>
      <w:r>
        <w:rPr>
          <w:rFonts w:ascii="Calibri" w:hAnsi="Calibri"/>
          <w:b w:val="0"/>
          <w:color w:val="3A4A28"/>
          <w:sz w:val="17"/>
        </w:rPr>
        <w:t>CBIZ Insider Trading Activity — SEC Form 4 Filings, The Motley Fool,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StockAnalysis.com — CBZ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