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CCAP</w:t>
      </w:r>
      <w:r>
        <w:rPr>
          <w:rFonts w:ascii="Calibri" w:hAnsi="Calibri"/>
          <w:b/>
          <w:color w:val="1A2010"/>
          <w:sz w:val="40"/>
        </w:rPr>
        <w:t xml:space="preserve">  Crescent Capital BDC, Inc.</w:t>
      </w:r>
    </w:p>
    <w:p>
      <w:pPr>
        <w:spacing w:after="120"/>
      </w:pPr>
      <w:r>
        <w:rPr>
          <w:rFonts w:ascii="Calibri" w:hAnsi="Calibri"/>
          <w:b/>
          <w:color w:val="6E8450"/>
          <w:sz w:val="18"/>
        </w:rPr>
        <w:t>DIVIDEND SLEEVE · 2026-09-21 · Inspire: 26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Asset Management · NASDAQ · United States</w:t>
      </w:r>
    </w:p>
    <w:p>
      <w:pPr>
        <w:spacing w:after="80"/>
      </w:pPr>
      <w:r>
        <w:rPr>
          <w:rFonts w:ascii="Calibri" w:hAnsi="Calibri"/>
          <w:b w:val="0"/>
          <w:color w:val="3A4A28"/>
          <w:sz w:val="20"/>
        </w:rPr>
        <w:t>Crescent Capital BDC is an externally managed business development company focused on originating and investing in the debt of private U.S. middle market companies. The company is managed by Crescent Capital Group LP, a specialty credit firm founded in 1991 with expertise in private credit. CCAP provides senior secured loans, unitranche facilities, and subordinated debt to portfolio companies. CEO Jason Breaux (since 2015) and President Henry Chung were elevated to the board in May 2026. The company pays a quarterly dividend currently at $0.34/share (reduced from $0.42 in mid-2026) with a 15.6% forward yield, but faces headwinds from declining interest income as rates fall, rising non-accruals particularly in healthcare, and NAV erosion — net income turned negative in H1 2026 with losses of $18.8M.</w:t>
      </w:r>
    </w:p>
    <w:p>
      <w:r>
        <w:rPr>
          <w:rFonts w:ascii="Calibri" w:hAnsi="Calibri"/>
          <w:b/>
          <w:color w:val="6E8450"/>
          <w:sz w:val="18"/>
        </w:rPr>
        <w:t>https://www.crescentbdc.com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(0/3): Crescent Capital BDC's financial performance has deteriorated significantly. Interest income declined from $183M (FY2024) to $156M (FY2025, -14.7%), and the trailing twelve months through Q2 2026 show continued compression [1]. Net income fell 53% in FY2025 to $34.5M, and H1 2026 produced net losses of $18.8M driven by rising non-accruals especially in healthcare portfolio companies [1]. Oppenheimer downgraded CCAP to Perform from Outperform, cutting the price target from $19 to $16. AI Deployment (0/2): No AI deployment in Crescent Capital's investment process or operations. The company uses a traditional relationship-based credit analysis approach — 'rigorous credit-driven research, disciplined investment process, and deep relationships' [2]. No AI-enhanced underwriting, portfolio monitoring, or deal sourcing capabilities disclosed. Market Share (1/2): Crescent Capital Group manages approximately $40B+ across credit strategies, and CCAP's $1.6B+ investment portfolio is a meaningful but small player in the BDC space relative to larger peers like Ares Capital ($25B+), Blue Owl ($20B+), and FS KKR ($15B+) [2]. Pipeline (1/2): Continued origination activity in middle market lending with focus on senior secured positions. However, the pipeline is constrained by declining rates reducing new loan yields and rising credit risk across the portfolio. R&amp;D Intensity (1/1): Not applicable for a BDC, but Crescent Capital Group's 30+ year track record and deep credit expertise provide institutional investment capability.</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Crescent Capital's purpose — 'Credit with Confidence' — centers on providing private debt capital to middle market businesses that may not access public markets efficiently [2]. This serves a genuine economic function: enabling mid-sized companies to grow, hire, and invest through customized credit solutions. The philosophy of 'partnership, transparency, and high ethical standards' is specific and differentiates from purely transactional lenders. Community Impact (1/2): By financing middle market companies, Crescent Capital indirectly supports economic activity, employment, and business growth in the U.S. private economy. However, this is a commercial function with no dedicated community investment programs or philanthropic initiatives identified. Employee Retention (1/2): CEO Jason Breaux's 24-year tenure at Crescent Capital (11 years as CCAP CEO) and President Henry Chung's long-term involvement demonstrate exceptional leadership stability [2]. The May 2026 board elevation of both executives consolidates governance. However, as an externally managed BDC, there are no direct employees to assess for retention metrics. Insider Buying (0/2): Insider ownership is only 3.4%, which is low for a BDC where management alignment is critical [4]. No evidence of meaningful open-market insider purchases by executives was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dividend stock on available metrics. CCAP benefits from an attractive forward P/E of 6.99x (score 1.0) reflecting value pricing for the BDC's earning power, and interest income 3-year CAGR of 12.9% (score 1.0) demonstrating growth in the lending platform's scale [4]. D/E of 141.1% (score 0.69) is elevated but within BDC norms where leverage supports earning capacity. However, the company faces severe headwinds: ROE of -0.46% (score 0.0) as net income has turned negative, profit margin of -2.0% (score 0.0), and revenue growth YoY of -15.5% (score 0.15) as interest income declines with falling rates [1][4]. Dividend metrics drag further: payout ratio exceeds 100% based on forward estimates (score 0.0), consecutive years of dividend growth is 0 as the dividend was cut from $0.42 to $0.34 in Q2 2026 (score 0.0), and 5-year dividend CAGR of 2.2% (score 0.37) reflects modest historical growth now reversed [4]. Consecutive years paid scores 0.70 (7 years). Stock clears the liquidity floor at $2.5M daily trading volume (260K shares x $9.78).</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Crescent Capital BDC demonstrates mixed infinite-game characteristics rooted in Crescent Capital Group's 30+ year history as a specialty credit firm. CEO Jason Breaux's 24-year tenure and the institutional philosophy of 'partnership, transparency, and high ethical standards' suggest long-term orientation [2]. However, the BDC structure inherently constrains strategic flexibility — the company must distribute at least 90% of taxable income, cannot pivot to non-credit businesses, and is externally managed with limited independent decision-making. The recent dividend cut from $0.42 to $0.34 and rising non-accruals suggest reactive management rather than proactive positioning.</w:t>
      </w:r>
    </w:p>
    <w:p>
      <w:pPr>
        <w:spacing w:before="200" w:after="40"/>
      </w:pPr>
      <w:r>
        <w:rPr>
          <w:rFonts w:ascii="Calibri" w:hAnsi="Calibri"/>
          <w:b/>
          <w:color w:val="1A2010"/>
          <w:sz w:val="22"/>
        </w:rPr>
        <w:t>Just Cause</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(1.5/3): Providing capital to middle market businesses that lack efficient access to public markets is a genuine economic purpose with real-world impact on business growth and employment [2]. Crescent's philosophy of 'partnership, transparency, and high ethical standards' suggests purpose beyond pure financial return. However, the cause is common to all BDCs and does not uniquely differentiate Crescent Capital from dozens of peers offering similar middle market lending.</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(1.5/2): CEO Jason Breaux's 24-year tenure at Crescent Capital and President Henry Chung's long-term involvement demonstrate exceptional leadership stability and institutional trust [2]. The May 2026 board elevation of both executives consolidates governance and signals confidence in continued leadership. Crescent Capital Group's 30+ year track record suggests deep organizational trust within the management company. However, as an externally managed BDC, the 'team' is an extension of Crescent Capital Group — not an independent organization with its own culture.</w:t>
      </w:r>
    </w:p>
    <w:p>
      <w:pPr>
        <w:spacing w:before="200" w:after="40"/>
      </w:pPr>
      <w:r>
        <w:rPr>
          <w:rFonts w:ascii="Calibri" w:hAnsi="Calibri"/>
          <w:b/>
          <w:color w:val="1A2010"/>
          <w:sz w:val="22"/>
        </w:rPr>
        <w:t>Worthy Rivals</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(0.5/1): Crescent Capital competes against significantly larger BDCs (Ares Capital, Blue Owl, FS KKR) and acknowledges the competitive dynamics of middle market lending through its focus on differentiated credit expertise and relationship-driven origination [2]. However, the company does not publicly frame competition as a learning opportunity or demonstrate specific instances of competitive self-improvement.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(0.5/2): BDC structure inherently constrains existential flexibility — CCAP must distribute 90%+ of taxable income, maintain regulated asset coverage ratios, and operate within SEC investment company limitations. The company cannot pivot to non-credit businesses or materially change its investment strategy without shareholder approval. The 2022 merger with First Eagle Alternative Capital BDC shows willingness to pursue strategic combinations, but this was accretive consolidation rather than transformative change.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(0.5/2): Maintaining elevated dividend payments through challenging periods and cutting the dividend proactively (from $0.42 to $0.34 in Q2 2026) rather than depleting NAV shows disciplined financial management [1]. However, the dividend cut is a reactive response to declining NII and rising non-accruals rather than a courageous strategic decision. No evidence of bold long-term investments, unconventional strategies, or principled decisions that sacrifice short-term returns for long-term positioning.</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Crescent Capital BDC at $9.78 (0.55x book value, 6.99x forward P/E, 15.6% dividend yield) is a deep-value opportunity in private middle market credit managed by Crescent Capital Group, a 30+ year specialty credit firm [1][4]. The stock trades at a 45% discount to NAV of $17.82/share, implying the market prices in substantial further credit losses that may be overly pessimistic. Forward P/E of 6.99x against forward EPS of $1.40 suggests significant earning power even after the dividend cut to $0.34/quarter ($1.36 annualized). CEO Jason Breaux's 24-year tenure at Crescent provides exceptional management continuity [2]. The PEG ratio of 0.89 is attractive for a value screen. Interest income of $156M (TTM) from a $1.6B+ portfolio of predominantly senior secured loans provides fundamental earning capacity. The Inspire Impact Score of 26 (ALIGNED) with Product Sustainability positive attribution supports faith-based allocation. For income investors willing to accept BDC volatility, the combination of 15.6% yield, deep discount to book, and experienced management creates a compelling value proposition.</w:t>
      </w:r>
    </w:p>
    <w:p>
      <w:pPr>
        <w:spacing w:after="120"/>
      </w:pPr>
      <w:r>
        <w:rPr>
          <w:rFonts w:ascii="Calibri" w:hAnsi="Calibri"/>
          <w:b w:val="0"/>
          <w:color w:val="3A4A28"/>
          <w:sz w:val="20"/>
        </w:rPr>
        <w:t>The bear case centers on deteriorating credit quality and dividend sustainability. Net income has turned negative in H1 2026 with $18.8M in losses driven by rising non-accruals, particularly in healthcare portfolio companies [1]. NAV has declined persistently, and the dividend was cut 19% from $0.42 to $0.34 per quarter — further cuts may follow if NII continues declining with falling interest rates. Oppenheimer downgraded CCAP to Perform, cutting the target from $19 to $16, and Seeking Alpha analysts note 'additional downside risks remain' [1][3]. Interest income is structurally declining as rates fall (-15.5% YoY revenue growth), compressing NII and reducing dividend coverage. Payout ratio exceeds 100% on a forward basis, meaning the dividend may not be fully covered by earnings. The stock is down 38% from its 52-week high of $15.77 to $9.78, reflecting persistent NAV erosion and credit deterioration. D/E of 141% is elevated, and ROE has turned negative (-0.46%), indicating the company is currently destroying equity value [4]. The 0.55x book value discount may be warranted rather than a buying opportunity if non-accruals continue rising.</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Stabilization of non-accrual levels and resolution of troubled healthcare credits would halt NAV erosion and restore confidence in the portfolio's credit quality, potentially narrowing the 45% discount to book value [1]</w:t>
      </w:r>
    </w:p>
    <w:p>
      <w:pPr>
        <w:spacing w:before="40" w:after="40"/>
        <w:ind w:left="283"/>
      </w:pPr>
      <w:r>
        <w:rPr>
          <w:rFonts w:ascii="Calibri" w:hAnsi="Calibri"/>
          <w:b/>
          <w:color w:val="4A6B25"/>
          <w:sz w:val="20"/>
        </w:rPr>
        <w:t xml:space="preserve">2. </w:t>
      </w:r>
      <w:r>
        <w:rPr>
          <w:rFonts w:ascii="Calibri" w:hAnsi="Calibri"/>
          <w:b w:val="0"/>
          <w:color w:val="3A4A28"/>
          <w:sz w:val="20"/>
        </w:rPr>
        <w:t>Federal Reserve rate stabilization or reversal — any pause in rate cuts would stabilize interest income and NII, directly supporting dividend coverage and reducing the risk of further dividend cuts [1]</w:t>
      </w:r>
    </w:p>
    <w:p>
      <w:pPr>
        <w:spacing w:before="40" w:after="40"/>
        <w:ind w:left="283"/>
      </w:pPr>
      <w:r>
        <w:rPr>
          <w:rFonts w:ascii="Calibri" w:hAnsi="Calibri"/>
          <w:b/>
          <w:color w:val="4A6B25"/>
          <w:sz w:val="20"/>
        </w:rPr>
        <w:t xml:space="preserve">3. </w:t>
      </w:r>
      <w:r>
        <w:rPr>
          <w:rFonts w:ascii="Calibri" w:hAnsi="Calibri"/>
          <w:b w:val="0"/>
          <w:color w:val="3A4A28"/>
          <w:sz w:val="20"/>
        </w:rPr>
        <w:t>Successful new originations at attractive spreads — middle market credit spreads remain wide by historical standards, and new loan deployments could offset declining yields on existing portfolio and demonstrate the platform's continued origination capability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Continued credit deterioration — rising non-accruals especially in healthcare portfolio companies could drive further NAV declines, additional net losses, and a second dividend cut that would accelerate the stock's decline from current levels [1]</w:t>
      </w:r>
    </w:p>
    <w:p>
      <w:pPr>
        <w:spacing w:before="40" w:after="40"/>
        <w:ind w:left="283"/>
      </w:pPr>
      <w:r>
        <w:rPr>
          <w:rFonts w:ascii="Calibri" w:hAnsi="Calibri"/>
          <w:b/>
          <w:color w:val="4A6B25"/>
          <w:sz w:val="20"/>
        </w:rPr>
        <w:t xml:space="preserve">2. </w:t>
      </w:r>
      <w:r>
        <w:rPr>
          <w:rFonts w:ascii="Calibri" w:hAnsi="Calibri"/>
          <w:b w:val="0"/>
          <w:color w:val="3A4A28"/>
          <w:sz w:val="20"/>
        </w:rPr>
        <w:t>Interest rate compression — further Fed rate cuts would reduce interest income on the floating-rate loan portfolio, compressing NII below the dividend and forcing additional distribution cuts, creating a negative feedback loop for the stock [1]</w:t>
      </w:r>
    </w:p>
    <w:p>
      <w:pPr>
        <w:spacing w:before="40" w:after="40"/>
        <w:ind w:left="283"/>
      </w:pPr>
      <w:r>
        <w:rPr>
          <w:rFonts w:ascii="Calibri" w:hAnsi="Calibri"/>
          <w:b/>
          <w:color w:val="4A6B25"/>
          <w:sz w:val="20"/>
        </w:rPr>
        <w:t xml:space="preserve">3. </w:t>
      </w:r>
      <w:r>
        <w:rPr>
          <w:rFonts w:ascii="Calibri" w:hAnsi="Calibri"/>
          <w:b w:val="0"/>
          <w:color w:val="3A4A28"/>
          <w:sz w:val="20"/>
        </w:rPr>
        <w:t>Discount-to-NAV trap — the 45% discount to book value may be warranted rather than a buying opportunity if the underlying portfolio is worth less than stated NAV, as rising non-accruals suggest potential further markdowns on troubled credits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Crescent Capital BDC's core business — originating and managing private credit to middle market companies — is protected by significant structural barriers that AI cannot easily replicate [2]. Private credit requires relationship-based deal sourcing, proprietary due diligence on private companies with limited public information, complex legal documentation, regulatory compliance (BDC/SEC regulations), and judgment-intensive credit underwriting that depends on management assessment and industry expertise. These are human-capital-intensive activities with high trust requirements. However, AI tools are increasingly capable of enhancing credit analysis, automating portfolio monitoring, and improving risk assessment — better-resourced competitors (Ares, Blue Owl) are deploying AI-enhanced platforms that could erode Crescent's competitive position over time. AI could also improve transparency in private markets, potentially reducing the information advantage that private credit managers rely on. AI Opportunity (0/1): No evidence of AI-related revenue or AI-enhanced investment tools. Crescent Capital relies on traditional credit analysis methods and relationship-based origination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26</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Product Sustainability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Crescent Capital BDC Q1-Q2 2026 Earnings and Financials — Interest Income Declining, Net Losses $18.8M H1 2026, Dividend Cut to $0.34, Non-Accruals Rising, SEC 10-Q/8-K Filings, 2026</w:t>
      </w:r>
    </w:p>
    <w:p>
      <w:pPr>
        <w:spacing w:before="20" w:after="20"/>
        <w:ind w:left="170"/>
      </w:pPr>
      <w:r>
        <w:rPr>
          <w:rFonts w:ascii="Calibri" w:hAnsi="Calibri"/>
          <w:b/>
          <w:color w:val="4A6B25"/>
          <w:sz w:val="15"/>
        </w:rPr>
        <w:t xml:space="preserve">2. </w:t>
      </w:r>
      <w:r>
        <w:rPr>
          <w:rFonts w:ascii="Calibri" w:hAnsi="Calibri"/>
          <w:b w:val="0"/>
          <w:color w:val="3A4A28"/>
          <w:sz w:val="17"/>
        </w:rPr>
        <w:t>Crescent Capital BDC Leadership and Strategy — CEO Jason Breaux (24-yr Tenure), President Henry Chung Board Elevation, 'Credit with Confidence' Philosophy, CrescentBDC.com/TipRanks, May 2026</w:t>
      </w:r>
    </w:p>
    <w:p>
      <w:pPr>
        <w:spacing w:before="20" w:after="20"/>
        <w:ind w:left="170"/>
      </w:pPr>
      <w:r>
        <w:rPr>
          <w:rFonts w:ascii="Calibri" w:hAnsi="Calibri"/>
          <w:b/>
          <w:color w:val="4A6B25"/>
          <w:sz w:val="15"/>
        </w:rPr>
        <w:t xml:space="preserve">3. </w:t>
      </w:r>
      <w:r>
        <w:rPr>
          <w:rFonts w:ascii="Calibri" w:hAnsi="Calibri"/>
          <w:b w:val="0"/>
          <w:color w:val="3A4A28"/>
          <w:sz w:val="17"/>
        </w:rPr>
        <w:t>Seeking Alpha CCAP Analysis — Oppenheimer Downgrade to Perform ($16 Target), NAV Decline, Additional Downside Risks, Deep Value at 0.55x Book, 2025-2026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CCAP Key Statistics: Price $9.78, Forward P/E 6.99, PEG 0.89, D/E 141.1%, ROE -0.46%, Dividend Yield 15.56%, Book Value $17.82, Avg Volume 260K,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