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CCCC</w:t>
      </w:r>
      <w:r>
        <w:rPr>
          <w:rFonts w:ascii="Calibri" w:hAnsi="Calibri"/>
          <w:b/>
          <w:color w:val="1A2010"/>
          <w:sz w:val="40"/>
        </w:rPr>
        <w:t xml:space="preserve">  C4 Therapeutics, Inc.</w:t>
      </w:r>
    </w:p>
    <w:p>
      <w:pPr>
        <w:spacing w:after="120"/>
      </w:pPr>
      <w:r>
        <w:rPr>
          <w:rFonts w:ascii="Calibri" w:hAnsi="Calibri"/>
          <w:b/>
          <w:color w:val="6E8450"/>
          <w:sz w:val="18"/>
        </w:rPr>
        <w:t>GROWTH SLEEVE · 2026-09-12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C4 Therapeutics is a clinical-stage biopharmaceutical company advancing targeted protein degradation (TPD) science, using its TORPEDO platform to develop orally bioavailable degrader medicines for cancer targets of high unmet need. Headquartered in Watertown, Massachusetts, the company's lead candidate cemsidomide is in Phase 2 development for multiple myeloma, alongside CFT1946 for BRAF V600X solid tumors and CFT8919 for EGFR-mutant non-small cell lung cancer. A new April 2026 Roche collaboration for degrader-antibody conjugates (DACs) added more than $1.0 billion in potential milestones. Q2 2026 cash position of $300.4M provides a runway through end of 2028.</w:t>
      </w:r>
    </w:p>
    <w:p>
      <w:r>
        <w:rPr>
          <w:rFonts w:ascii="Calibri" w:hAnsi="Calibri"/>
          <w:b/>
          <w:color w:val="6E8450"/>
          <w:sz w:val="18"/>
        </w:rPr>
        <w:t>110 Employees · https://c4therapeutics.com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C4 Therapeutics finalized a new collaboration with Roche in April 2026 focused on degrader-antibody conjugate (DAC) therapeutics, receiving a $20M upfront payment and adding more than $1.0 billion in potential milestones — a meaningful platform-extension deal into a new therapeutic modality beyond core small-molecule degraders [1]. AI Deployment (0/2): No specific AI-driven drug discovery capability or quantified AI-attributable efficiency gain was identified for the TORPEDO platform. Market Share (1/2): C4 is a credible player in the targeted protein degradation field alongside more prominent peers Arvinas and Kymera Therapeutics; the Roche DAC deal signals platform validation without establishing category leadership. Product Pipeline (2/2): The company has clearly named, staged clinical programs — the Phase 2 MOMENTUM trial for cemsidomide in multiple myeloma, a Phase 1b combination with elranatamab, and CFT1946 and CFT8919 programs — with a further Phase 1b combination trial expected to start in H1 2027 [1]. R&amp;D Intensity (1/1): R&amp;D dominates the cost structure as expected for a clinical-stage biotech — Q2 2026 net loss of $23.6M against only $6.6M revenue reflects near-total R&amp;D focus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C4's stated purpose of 'delivering targeted protein degradation science to create a new generation of medicines that transforms patients' lives' is clear, identifies a specific scientific approach and patient benefit, and is more distinctive than generic biotech framing given the specific TPD/TORPEDO platform reference [1]. However, it has not been validated through decades of consistent execution. Community Impact (1/2): C4's ESG fact sheet references patient advocacy and community engagement as stated priority areas, alongside commitments to data privacy, product quality, and business ethics — though without large-scale programs or specific dollar figures [2]. Employee Retention (0/2): CEO Andrew Hirsch has led since September 2020, but three of four non-CEO senior executive roles — CSO (October 2024), CFO (September 2023), and CMO (July 2023) — turned over within three years, and no positive tenure or turnover data was found to offset this churn in a ~110-person organization. Insider Buying (0/2): SEC filings show primarily option grants and awards rather than open-market discretionary purchases; no meaningful net insider buying was identified in the trailing 12-month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revenue growth figures excluded as unreliable given lumpy, milestone-driven collaboration revenue, and Forward P/E and Forward PEG excluded as unavailable for this pre-commercial clinical-stage biotech [3]. D/E of 25% scores a full 1.0 against the 70% target — a conservative, equity-funded capital structure [3]. ROE of -48.35% and profit margin (deeply negative, reflecting clinical-stage cost structure) both score 0.0, below the zero floor [1]. The mechanical score does not capture balance-sheet quality directly: C4 held $300.4M in cash and marketable securities as of Q2 2026, up from $268.3M in Q1 (reflecting the Roche upfront payment), providing a runway management projects through end of 2028 — a genuine credit strength the formula does not weight [1]. Liquidity clears the floor: $3.76 x 2.15M avg daily volume = ~$8.1M.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C4 Therapeutics shows some infinite-game characteristics in its willingness to fund a multi-program pipeline and extend its platform into a new modality via the Roche DAC collaboration, but the evidence is thin on organizational trust — three of four non-CEO C-suite seats have turned over in the last three years — and its mission, while genuine, reads as standard clinical-stage biotech framing rather than a distinctively lived cause. The company is playing to advance its science, but has not been tested through a defining strategic crisis.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C4's cause of using targeted protein degradation to reach cancer targets previously considered 'undruggable' is genuine and connects to a distinctive scientific platform (TORPEDO), and the company has pursued it consistently across three clinical programs plus the Roche DAC extension [1]. However, it has not been tested through a multi-decade cycle or crisis, and the framing — while more specific than peers due to the TPD focus — is largely interchangeable with other oncology biotechs.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of four senior non-CEO executive roles — Chief Scientific Officer (October 2024), Chief Financial Officer (September 2023), and Chief Medical Officer (July 2023) — have turned over within the past three years [2]. With no offsetting evidence of long tenure, high employee satisfaction, or organizational stability programs, this pattern of leadership churn is a low-trust signal for a ~110-person organization heading into pivotal clinical readouts.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C4 management publicly framing Arvinas, Kymera Therapeutics, or other protein-degradation competitors as worthy rivals whose strengths sharpen C4's own platform and pipeline strategy.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April 2026 Roche collaboration extends C4's platform from small-molecule degraders into degrader-antibody conjugates (DACs), a genuine expansion of the core technology into a new modality with more than $1.0 billion in potential milestones [1]. This is meaningful but incremental — extending the platform rather than wholesale business-model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continues to fund three parallel clinical programs (cemsidomide, CFT1946, CFT8919) and committed to the new DAC modality despite a -380% profit margin and ongoing cash burn ($23.6M net loss in Q2 2026), prioritizing long-term pipeline breadth over near-term capital conservation [1]. The $300.4M cash position provides runway through 2028, reducing the urgency of this posture but not eliminating the conviction it requires.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C4 Therapeutics is a clinical-stage targeted protein degradation company with a differentiated TORPEDO platform advancing three named oncology programs — cemsidomide (Phase 2 MOMENTUM in multiple myeloma plus a Phase 1b elranatamab combination), CFT1946 (BRAF V600X solid tumors), and CFT8919 (EGFR-mutant NSCLC) [1]. The April 2026 Roche DAC collaboration ($20M upfront, $1.0B+ milestones) validates the platform's applicability to a new modality and adds a potential value-creating catalyst beyond the core pipeline. With $300.4M in cash as of Q2 2026 — up from $268.3M in Q1 reflecting the Roche payment — and management guidance of a runway through end of 2028, C4 has multiple years to generate clinical readouts without imminent financing need [1]. A conservative D/E of 25% and a strong analyst consensus (7 buy, 0 sell, average target $13.33 vs $3.76 current price) reflect confidence in the science.</w:t>
      </w:r>
    </w:p>
    <w:p>
      <w:pPr>
        <w:spacing w:after="120"/>
      </w:pPr>
      <w:r>
        <w:rPr>
          <w:rFonts w:ascii="Calibri" w:hAnsi="Calibri"/>
          <w:b w:val="0"/>
          <w:color w:val="3A4A28"/>
          <w:sz w:val="20"/>
        </w:rPr>
        <w:t>The bear case centers on binary clinical risk, thin organizational stability, and pre-commercial fundamentals. Q2 2026 revenue was just $6.6M against a $23.6M net loss ($0.18/share), and the mechanical infrastructure score of 3 (WEAK) reflects deeply negative ROE (-48.35%) and profit margin (-380%) typical of pre-commercial biotech — the formula does not capture the genuine balance-sheet cushion from the $300.4M cash position [1]. Three of four non-CEO C-suite roles have turned over in the past three years (CSO, CFO, CMO), raising organizational continuity concerns heading into pivotal cemsidomide readouts, and no insider buying was identified [2]. Cemsidomide's Phase 2 outcome remains the primary binary event — a negative readout would eliminate the core investment thesis with no approved products to fall back on. The company operates in a competitive and rapidly evolving field with Arvinas, Kymera, and major pharma in-licensing protein degradation programs. The Inspire Impact Score of 32 (ALIGNED) is a positive signal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Cemsidomide Phase 2 MOMENTUM data in multiple myeloma and readouts from the Phase 1b elranatamab combination trial — positive results would validate the lead program and potentially trigger partnership interest or accelerated development [1]</w:t>
      </w:r>
    </w:p>
    <w:p>
      <w:pPr>
        <w:spacing w:before="40" w:after="40"/>
        <w:ind w:left="283"/>
      </w:pPr>
      <w:r>
        <w:rPr>
          <w:rFonts w:ascii="Calibri" w:hAnsi="Calibri"/>
          <w:b/>
          <w:color w:val="4A6B25"/>
          <w:sz w:val="20"/>
        </w:rPr>
        <w:t xml:space="preserve">2. </w:t>
      </w:r>
      <w:r>
        <w:rPr>
          <w:rFonts w:ascii="Calibri" w:hAnsi="Calibri"/>
          <w:b w:val="0"/>
          <w:color w:val="3A4A28"/>
          <w:sz w:val="20"/>
        </w:rPr>
        <w:t>Roche degrader-antibody conjugate collaboration milestones following the $20M April 2026 upfront payment, with $1.0B+ in potential milestones validating the DAC modality and providing non-dilutive funding [1]</w:t>
      </w:r>
    </w:p>
    <w:p>
      <w:pPr>
        <w:spacing w:before="40" w:after="40"/>
        <w:ind w:left="283"/>
      </w:pPr>
      <w:r>
        <w:rPr>
          <w:rFonts w:ascii="Calibri" w:hAnsi="Calibri"/>
          <w:b/>
          <w:color w:val="4A6B25"/>
          <w:sz w:val="20"/>
        </w:rPr>
        <w:t xml:space="preserve">3. </w:t>
      </w:r>
      <w:r>
        <w:rPr>
          <w:rFonts w:ascii="Calibri" w:hAnsi="Calibri"/>
          <w:b w:val="0"/>
          <w:color w:val="3A4A28"/>
          <w:sz w:val="20"/>
        </w:rPr>
        <w:t>CFT1946 (BRAF V600X) and CFT8919 (EGFR NSCLC) clinical progress providing additional value drivers independent of the lead cemsidomide program, reducing single-program dependency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a negative Phase 2 readout for cemsidomide in multiple myeloma would remove the primary value driver with no approved products or near-term revenue to fall back on [1]</w:t>
      </w:r>
    </w:p>
    <w:p>
      <w:pPr>
        <w:spacing w:before="40" w:after="40"/>
        <w:ind w:left="283"/>
      </w:pPr>
      <w:r>
        <w:rPr>
          <w:rFonts w:ascii="Calibri" w:hAnsi="Calibri"/>
          <w:b/>
          <w:color w:val="4A6B25"/>
          <w:sz w:val="20"/>
        </w:rPr>
        <w:t xml:space="preserve">2. </w:t>
      </w:r>
      <w:r>
        <w:rPr>
          <w:rFonts w:ascii="Calibri" w:hAnsi="Calibri"/>
          <w:b w:val="0"/>
          <w:color w:val="3A4A28"/>
          <w:sz w:val="20"/>
        </w:rPr>
        <w:t>Executive turnover — CSO, CFO, and CMO have all changed within the last three years, creating continuity and institutional-knowledge risk heading into pivotal trial readouts in a ~110-person organization [2]</w:t>
      </w:r>
    </w:p>
    <w:p>
      <w:pPr>
        <w:spacing w:before="40" w:after="40"/>
        <w:ind w:left="283"/>
      </w:pPr>
      <w:r>
        <w:rPr>
          <w:rFonts w:ascii="Calibri" w:hAnsi="Calibri"/>
          <w:b/>
          <w:color w:val="4A6B25"/>
          <w:sz w:val="20"/>
        </w:rPr>
        <w:t xml:space="preserve">3. </w:t>
      </w:r>
      <w:r>
        <w:rPr>
          <w:rFonts w:ascii="Calibri" w:hAnsi="Calibri"/>
          <w:b w:val="0"/>
          <w:color w:val="3A4A28"/>
          <w:sz w:val="20"/>
        </w:rPr>
        <w:t>Continued cash burn ($23.6M Q2 2026 net loss, -380% profit margin) means the ~2028 runway depends on no major clinical setbacks; milestone slips or failed trials could necessitate dilutive financing before the cash is exhausted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 C4 Therapeutics' value creation depends on proprietary degrader chemistry (TORPEDO platform), multi-year clinical trials, and FDA regulatory approval — none of which AI can substitute [1]. Running the Phase 2 MOMENTUM trial for cemsidomide and generating the biological and safety data needed for approval are physical-world, regulated processes that structurally resist AI displacement. If anything, AI-assisted computational chemistry and structural biology tools are accelerating drug discovery industry-wide, functioning as an enabler rather than a threat to C4's business model. The Roche DAC collaboration further validates the platform's scientific differentiation. AI Opportunity (0/1): No specific AI-attributable revenue or explicitly AI-driven discovery result was disclosed for the TORPEDO platform, so the tiebreaker point is not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C4 Therapeutics Q2 2026 Earnings — Revenue $6.6M, Net Loss $23.6M ($0.18/share), Cash $300.4M, Roche DAC Collaboration ($20M Upfront, $1.0B+ Milestones), Pipeline Updates, StockTitan and SEC 8-K/10-Q Filings, July-August 2026</w:t>
      </w:r>
    </w:p>
    <w:p>
      <w:pPr>
        <w:spacing w:before="20" w:after="20"/>
        <w:ind w:left="170"/>
      </w:pPr>
      <w:r>
        <w:rPr>
          <w:rFonts w:ascii="Calibri" w:hAnsi="Calibri"/>
          <w:b/>
          <w:color w:val="4A6B25"/>
          <w:sz w:val="15"/>
        </w:rPr>
        <w:t xml:space="preserve">2. </w:t>
      </w:r>
      <w:r>
        <w:rPr>
          <w:rFonts w:ascii="Calibri" w:hAnsi="Calibri"/>
          <w:b w:val="0"/>
          <w:color w:val="3A4A28"/>
          <w:sz w:val="17"/>
        </w:rPr>
        <w:t>C4 Therapeutics Company Research — CEO Andrew Hirsch, Leadership Team Turnover (CSO Oct 2024, CFO Sept 2023, CMO July 2023), ESG Fact Sheet, Corporate Governance, c4therapeutics.com,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CCCC Key Statistics: Stock Price $3.76, D/E 25%, ROE -48.35%, Market Cap ~$450M, Avg Volume 2.15M, Analyst Consensus Strong Buy ($13.33 target),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