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CCHH</w:t>
      </w:r>
      <w:r>
        <w:rPr>
          <w:rFonts w:ascii="Calibri" w:hAnsi="Calibri"/>
          <w:b/>
          <w:color w:val="1A2010"/>
          <w:sz w:val="40"/>
        </w:rPr>
        <w:t xml:space="preserve">  CCH Holdings Ltd</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NCM · Malaysia</w:t>
      </w:r>
    </w:p>
    <w:p>
      <w:pPr>
        <w:spacing w:after="80"/>
      </w:pPr>
      <w:r>
        <w:rPr>
          <w:rFonts w:ascii="Calibri" w:hAnsi="Calibri"/>
          <w:b w:val="0"/>
          <w:color w:val="3A4A28"/>
          <w:sz w:val="20"/>
        </w:rPr>
        <w:t>CCH Holdings Ltd operates specialty hotpot restaurant chains in Malaysia under the Chicken Claypot House and Zi Wei Yuan brands, with approximately 15 company-owned and 17 franchised outlets (13 domestic, 4 international). Also operates or licenses outlets under 888 Family Food Court, Bibixian, Banbudian Bistro, and Chao Liu Xian Hotpot brands. Chicken Claypot House is the largest chicken hotpot brand in Malaysia by outlet count per Frost &amp; Sullivan. The company executed a 1-for-10 reverse split in July 2026 to regain Nasdaq compliance and announced a $50M three-year data center maintenance contract. Founded 2015 in Bukit Mertajam, Malaysia, IPO'd on Nasdaq October 2025. Market cap ~$19M.</w:t>
      </w:r>
    </w:p>
    <w:p>
      <w:r>
        <w:rPr>
          <w:rFonts w:ascii="Calibri" w:hAnsi="Calibri"/>
          <w:b/>
          <w:color w:val="6E8450"/>
          <w:sz w:val="18"/>
        </w:rPr>
        <w:t>207 Employees · https://www.chickenclaypothouse.com.my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CCH Holdings remains fundamentally a small Malaysian hotpot chain with no meaningful product innovation or successful business transformation [1]. The Nasdaq IPO in October 2025 was a capital market event, not an innovation milestone, and the stock has declined dramatically from its post-split-adjusted IPO high. The $50M data center maintenance contract announced July 2026 represents a dramatic but entirely unproven diversification into an unrelated industry with NDA-protected counterparty details that prevent investor due diligence [2]. AI Deployment (0/2): No AI deployment in restaurant operations or data center maintenance services. Market Share (1/2): Chicken Claypot House is the largest chicken hotpot brand in Malaysia by outlet count and the third-largest specialty hotpot chain by company-owned restaurant revenue per Frost &amp; Sullivan [1]. This represents meaningful leadership in a niche Malaysian market. Product Pipeline (0/2): NYC expansion plans and Malaysian restaurant acquisitions remain aspirational for a company generating $9.6M revenue with operating losses. The $50M data center contract could transform revenue if executed but is unproven [2]. R&amp;D Intensity (0/1): Restaurant chain with no applicable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CCH Holdings operates without an articulated mission beyond serving Malaysian hotpot cuisine and, now, maintaining data centers — no purpose statement connects these entirely disparate businesses to a larger social vision [1]. The company's website describes an 'authentic Sichuan hotpot experience,' which is a product positioning, not a mission that shapes strategic decisions. Community Impact (0/2): No evidence of charitable programs or community investment beyond providing employment and dining services in Malaysian communities. Employee Retention (0/2): No retention or culture data available for a 207-person Malaysian restaurant workforce. The founding CEO (Goh Kok Foong) departed in March 2026 — five months after the IPO — replaced by relative Goh Kok E, raising governance concerns [2]. Insider Buying (0/2): No evidence of insider buying despite the severe stock price decline. The CEO transition within the founding family suggests management succession, not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179,095 shares × $0.99 = $177,324 daily dollar volume, far below the $1M IOWN liquidity floor [1]. Infrastructure is automatically scored 0. Shares outstanding increased from approximately 4.8M (post-reverse-split) to 18.8M, indicating substantial dilutive equity issuance that increased the market cap to $18.7M despite the stock declining to $0.99 [1]. The underlying financials remain distressed: FY2025 revenue of $9.59M (+10.1% YoY) with a net loss of $2.68M (-28% margin), cash of only $685K against quarterly free cash burn of $439K, and operating margin of -47.9% reflecting a deeply unprofitable business [1]. The $50M data center maintenance contract has not yet contributed reported revenue. D/E of 54.3% is manageable but the balance sheet provides minimal runway for continued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CCH Holdings is a micro-cap Malaysian restaurant chain in severe distress — the stock has declined dramatically since its October 2025 IPO, the founding CEO departed after 5 months, shares outstanding have expanded nearly 4x through dilutive issuances, and the company is pivoting from hotpot restaurants to data center maintenance with a $19M market cap and 207 employees. The $50M data center contract and NYC expansion plans represent opportunistic diversification from a company in survival mode, not infinite-game purpose-driven strategy.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CCH Holdings exists to operate Malaysian hotpot restaurants and, since July 2026, provide data center maintenance — two entirely unrelated businesses with no unifying purpose [1][2]. There is no articulated vision of a better future. The pivot from chicken hotpot to tech infrastructure services suggests the company chases whatever revenue opportunity presents itself. Sinek would see this as a company that does not know why it exists.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Founding CEO Goh Kok Foong departed in March 2026 — five months after the Nasdaq IPO — replaced by relative Goh Kok E alongside Co-CEO Mhlengi Prevail Mafu [2]. The dramatic stock decline, Nasdaq non-compliance scare, reverse stock split, massive dilution, and pivot into data centers create extreme organizational instability. The 207 employees face uncertainty about the company's strategic direction and financial viability, with $685K cash providing minimal operational runway.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competitive pressure for self-improvement [1]. The company competes against Haidilao and established hotpot chains with vastly greater resources in restaurants, and now against established data center service providers in an entirely different industry, without demonstrating awareness of what these rivals do well.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hotpot restaurants to data center maintenance via a $50M contract represents one of the most dramatic business model diversifications conceivable — a Penang chicken restaurant chain entering technology infrastructure services [2]. This shows extreme adaptability and willingness to pursue entirely new revenue streams. However, Sinek would view this as desperation-driven flexibility rather than purpose-driven reinvention — there is no Just Cause connecting hotpot cuisine to data center maintenance.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reverse stock split, data center pivot, and NYC expansion plans require some audacity from a micro-cap company, but these are survival tactics rather than courageous long-term bets [2]. No evidence of leadership making costly principled decisions or sacrificing near-term results for long-term capability. The founding CEO's departure after 5 months and replacement by a family member undermines leadership credibility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CCH Holdings at $0.99 with a ~$19M market cap offers speculative exposure to a Malaysian specialty hotpot brand with a potentially transformative data center maintenance contract. Revenue grew 10.1% YoY to $9.59M in FY2025, and the company retains the largest chicken hotpot brand in Malaysia by outlet count (approximately 32 outlets across 6 brands) [1]. The $50M three-year data center contract could add $16.7M annual revenue if recognized evenly, more than doubling the restaurant base and validating the diversification strategy [2]. The company regained Nasdaq compliance following the July 2026 reverse split. At the current valuation, any successful execution on data center services or international expansion provides significant percentage upside from a low base.</w:t>
      </w:r>
    </w:p>
    <w:p>
      <w:pPr>
        <w:spacing w:after="120"/>
      </w:pPr>
      <w:r>
        <w:rPr>
          <w:rFonts w:ascii="Calibri" w:hAnsi="Calibri"/>
          <w:b w:val="0"/>
          <w:color w:val="3A4A28"/>
          <w:sz w:val="20"/>
        </w:rPr>
        <w:t>The bear case is overwhelming and multi-dimensional. At $0.99 per share with $177K daily dollar volume, CCHH fails the IOWN liquidity floor and is effectively uninvestable at institutional scale [1]. Shares outstanding expanded from ~4.8M to ~18.8M through dilutive issuances, destroying per-share value even as the market cap grew. FY2025 net loss of $2.68M (-28% margin) on $9.6M revenue with only $685K cash shows a deeply unprofitable business running out of runway. The $50M data center maintenance contract — involving a hotpot restaurant chain providing technology infrastructure maintenance with NDA-protected client details — stretches credibility and has no track record of execution [2]. The founding CEO departed after 5 months as a public company, replaced by a family member, signaling governance instability. ROE of -35% and operating margin of -47.9% reflect structural profitability challenges in the core restaurant business [1]. Further dilutive capital raises are likely given the cash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$50M data center maintenance contract execution could generate $16.7M annual revenue if recognized evenly over 3 years, more than doubling current restaurant revenue and potentially achieving profitability through higher-margin services [2]</w:t>
      </w:r>
    </w:p>
    <w:p>
      <w:pPr>
        <w:spacing w:before="40" w:after="40"/>
        <w:ind w:left="283"/>
      </w:pPr>
      <w:r>
        <w:rPr>
          <w:rFonts w:ascii="Calibri" w:hAnsi="Calibri"/>
          <w:b/>
          <w:color w:val="4A6B25"/>
          <w:sz w:val="20"/>
        </w:rPr>
        <w:t xml:space="preserve">2. </w:t>
      </w:r>
      <w:r>
        <w:rPr>
          <w:rFonts w:ascii="Calibri" w:hAnsi="Calibri"/>
          <w:b w:val="0"/>
          <w:color w:val="3A4A28"/>
          <w:sz w:val="20"/>
        </w:rPr>
        <w:t>Restaurant expansion in Malaysia through the Chicken Claypot House franchise model and planned acquisitions could accelerate revenue growth from the current $9.6M base in a growing Malaysian food service market [1]</w:t>
      </w:r>
    </w:p>
    <w:p>
      <w:pPr>
        <w:spacing w:before="40" w:after="40"/>
        <w:ind w:left="283"/>
      </w:pPr>
      <w:r>
        <w:rPr>
          <w:rFonts w:ascii="Calibri" w:hAnsi="Calibri"/>
          <w:b/>
          <w:color w:val="4A6B25"/>
          <w:sz w:val="20"/>
        </w:rPr>
        <w:t xml:space="preserve">3. </w:t>
      </w:r>
      <w:r>
        <w:rPr>
          <w:rFonts w:ascii="Calibri" w:hAnsi="Calibri"/>
          <w:b w:val="0"/>
          <w:color w:val="3A4A28"/>
          <w:sz w:val="20"/>
        </w:rPr>
        <w:t>Nasdaq compliance regained July 2026 removes the immediate delisting overhang that had constrained investor interest in the stock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 average daily dollar volume of $177K makes position building or exit virtually impossible, failing the IOWN $1M liquidity floor and eliminating institutional investability [1]</w:t>
      </w:r>
    </w:p>
    <w:p>
      <w:pPr>
        <w:spacing w:before="40" w:after="40"/>
        <w:ind w:left="283"/>
      </w:pPr>
      <w:r>
        <w:rPr>
          <w:rFonts w:ascii="Calibri" w:hAnsi="Calibri"/>
          <w:b/>
          <w:color w:val="4A6B25"/>
          <w:sz w:val="20"/>
        </w:rPr>
        <w:t xml:space="preserve">2. </w:t>
      </w:r>
      <w:r>
        <w:rPr>
          <w:rFonts w:ascii="Calibri" w:hAnsi="Calibri"/>
          <w:b w:val="0"/>
          <w:color w:val="3A4A28"/>
          <w:sz w:val="20"/>
        </w:rPr>
        <w:t>$50M data center contract credibility is untested — a hotpot restaurant chain providing technology infrastructure maintenance with NDA-protected counterparty details is unprecedented, and failure to execute would destroy remaining investor confidence [2]</w:t>
      </w:r>
    </w:p>
    <w:p>
      <w:pPr>
        <w:spacing w:before="40" w:after="40"/>
        <w:ind w:left="283"/>
      </w:pPr>
      <w:r>
        <w:rPr>
          <w:rFonts w:ascii="Calibri" w:hAnsi="Calibri"/>
          <w:b/>
          <w:color w:val="4A6B25"/>
          <w:sz w:val="20"/>
        </w:rPr>
        <w:t xml:space="preserve">3. </w:t>
      </w:r>
      <w:r>
        <w:rPr>
          <w:rFonts w:ascii="Calibri" w:hAnsi="Calibri"/>
          <w:b w:val="0"/>
          <w:color w:val="3A4A28"/>
          <w:sz w:val="20"/>
        </w:rPr>
        <w:t>Massive shareholder dilution (shares outstanding from ~4.8M to ~18.8M post-reverse-split) combined with $685K cash and $1.76M annual free cash burn signals imminent need for additional dilutive capital raises that further impair per-share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CCH Holdings' core restaurant business — operating physical hotpot restaurants where customers dine in-person around communal cooking vessels — is structurally immune to AI substitution [1]. Food preparation, cooking at the table, and the social dining experience of hotpot are inherently physical activities that no AI technology can replicate. The Malaysian restaurant industry faces no meaningful AI disruption risk to its core dining operations. AI may actually increase demand for in-person dining as people seek human connection alongside digital lives. The announced $50M data center maintenance contract positions the company adjacent to AI infrastructure demand, potentially benefiting from the AI-driven data center buildout, though this business line is unproven [2]. AI Opportunity (0/1): No AI-related revenue. The data center contract involves physical facility maintenance services, not AI technology or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CCH Holdings FY2025 Annual Report and Restaurant Operations — Revenue $9.59M (+10.1%), Net Loss $2.68M, Frost &amp; Sullivan Market Position — SEC 6-K/20-F Filings, StockAnalysis, Investing.com, 2025-2026</w:t>
      </w:r>
    </w:p>
    <w:p>
      <w:pPr>
        <w:spacing w:before="20" w:after="20"/>
        <w:ind w:left="170"/>
      </w:pPr>
      <w:r>
        <w:rPr>
          <w:rFonts w:ascii="Calibri" w:hAnsi="Calibri"/>
          <w:b/>
          <w:color w:val="4A6B25"/>
          <w:sz w:val="15"/>
        </w:rPr>
        <w:t xml:space="preserve">2. </w:t>
      </w:r>
      <w:r>
        <w:rPr>
          <w:rFonts w:ascii="Calibri" w:hAnsi="Calibri"/>
          <w:b w:val="0"/>
          <w:color w:val="3A4A28"/>
          <w:sz w:val="17"/>
        </w:rPr>
        <w:t>CCH Holdings $50M Data Center Contract, CEO Transition, Nasdaq Compliance, and 1-for-10 Reverse Split — The Rakyat Post, SEC Filings, GlobeNewsWire, March-July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