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CCI</w:t>
      </w:r>
      <w:r>
        <w:rPr>
          <w:rFonts w:ascii="Calibri" w:hAnsi="Calibri"/>
          <w:b/>
          <w:color w:val="1A2010"/>
          <w:sz w:val="40"/>
        </w:rPr>
        <w:t xml:space="preserve">  Crown Castle Inc.</w:t>
      </w:r>
    </w:p>
    <w:p>
      <w:pPr>
        <w:spacing w:after="120"/>
      </w:pPr>
      <w:r>
        <w:rPr>
          <w:rFonts w:ascii="Calibri" w:hAnsi="Calibri"/>
          <w:b/>
          <w:color w:val="6E8450"/>
          <w:sz w:val="18"/>
        </w:rPr>
        <w:t>DIVIDEND SLEEVE · 2026-09-02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Specialty · NYSE · United States</w:t>
      </w:r>
    </w:p>
    <w:p>
      <w:pPr>
        <w:spacing w:after="80"/>
      </w:pPr>
      <w:r>
        <w:rPr>
          <w:rFonts w:ascii="Calibri" w:hAnsi="Calibri"/>
          <w:b w:val="0"/>
          <w:color w:val="3A4A28"/>
          <w:sz w:val="20"/>
        </w:rPr>
        <w:t>Crown Castle is the largest provider of shared wireless communications infrastructure in the United States, operating approximately 40,000 cell towers following the May 2026 divestiture of its fiber and small cell businesses for $8.5B. Revenue comes primarily from long-term site rental agreements with wireless carriers including T-Mobile, AT&amp;T, and Verizon. Q2 2026 revenue was $1.01B, down 4.8% YoY due to Sprint and DISH non-renewals, while organic growth excluding those impacts was 3.4%. Management initiated a 2026 restructuring targeting $65M in annual savings.</w:t>
      </w:r>
    </w:p>
    <w:p>
      <w:r>
        <w:rPr>
          <w:rFonts w:ascii="Calibri" w:hAnsi="Calibri"/>
          <w:b/>
          <w:color w:val="6E8450"/>
          <w:sz w:val="18"/>
        </w:rPr>
        <w:t>3,000 Employees · https://www.crowncastle.com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Crown Castle's primary strategic move in the last 5 years was the divestiture of its $8.5B fiber and small cell business completed May 1, 2026 [2], a defensive simplification forced by Elliott Management activist pressure that ousted former CEO Jay Brown — a strategic contraction rather than an innovative expansion. AI Deployment (0/2): No AI-powered products shipping and no quantified AI-driven efficiency gains; the company offers connectivity for manufacturing use cases but has not deployed AI operationally in any measurable way [1]. Market Share (2/2): Crown Castle operates ~40,000 cell towers across the US, making it one of the two largest independent tower operators alongside American Tower, with high barriers to entry from zoning, permitting, and capital requirements [1]. Product Pipeline (0/2): Tower infrastructure is a mature, capital-intensive business with no next-generation product launches; growth comes from carrier tenant additions and contractual 3% annual escalators rather than new products [1]. R&amp;D Intensity (0/1): As a REIT operating cell towers, Crown Castle has minimal R&amp;D spending, well below the technology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Crown Castle's stated purpose involves connecting communities through shared communications infrastructure — clear but not distinctive, interchangeable with any communications infrastructure company and lacking a deeper articulation of why this work matters beyond the obvious business function. Community Impact (0/2): No evidence of significant charitable programs, foundation activity, or community investment beyond standard corporate practices [3]. Employee Retention (0/2): Glassdoor reviews describe a toxic work environment with frequent layoffs — two waves in 2024 eliminated 20% of the workforce — constant organizational restructuring every two years (2016, 2018, 2020, 2022), and senior leadership characterized as 'visionless' and driven by political dysfunction.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D/E and ROE excluded as null due to REIT negative stockholders' equity structure. Profit margin of 25.14% exceeds the 20% target, reflecting the high-margin tower rental model [1]. Forward P/E of 34.65 is well above the 20x target, scoring 0.634 on linear interpolation. Revenue growth YoY of -4.8% is driven by Sprint and DISH non-renewals, scoring 0.507 against the -20% floor [1]. Revenue growth 5yr CAGR of approximately -7% (from $5.76B in 2021 to ~$4.04B tower-only run rate) falls at the -5% floor, scoring 0. The dividend profile is a significant drag: earnings-based payout ratio of 166% scores 0 (typical for REITs that pay from FFO/AFFO rather than GAAP earnings), and the 30% dividend cut from ~$6.26 to ~$4.25 annually gives a 5yr dividend growth CAGR of -6.5%, scoring 0 [4]. Consecutive years paid of 10 (since 2014) scores 1.0 with 2x weight, the strongest contributor. The stock clears the liquidity floor at ~$334M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Crown Castle exhibits a finite game mindset driven by shareholder activism and financial optimization rather than an enduring purpose. The company's strategy has been shaped by Elliott Management's activist campaign that forced out CEO Jay Brown and mandated the fiber divestiture, suggesting leadership responds to external pressure rather than an internal Just Cause. The toxic culture described in employee reviews, frequent organizational restructuring, and defensive cost-cutting posture reflect a company playing to survive this quarter rather than to keep playing indefinitely.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Crown Castle's articulated purpose around connecting communities through communications infrastructure is generic and has not driven distinctive strategic decisions — the fiber divestiture was forced by activist investors demanding a towers-only model rather than emerging from a guiding cause [2]. The company's strategic direction changes with whoever controls the board rather than reflecting a consistent vision that transcends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describe a dysfunctional senior leadership team prioritizing personal agendas, two waves of layoffs eliminating 20% of the workforce in 2024, and widespread talent hemorrhaging in key positions. Culture was characterized as 'a grey cloud over the organization' after the activist-driven management changes, with VPs described as political operators rather than mission-aligned leaders. Constant organizational restructuring every two years destroys whatever trust accumulates between cycles.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Crown Castle's competitive positioning focuses on defending its US tower market position rather than learning from rivals like American Tower or SBA Communications; the company's language has centered on asset simplification and cost optimization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fiber divestiture represents willingness to exit a major $8.5B business line, constituting a meaningful strategic pivot to a towers-only model [2]. However, this flexibility was reactive — driven by Elliott Management's activist pressure and underperformance in the fiber segment — rather than cause-driven. The 2026 restructuring targeting $65M in savings through headcount reduction is incremental cost-cutting, not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fiber divestiture was forced by activist investors demanding a return to towers-only operations, not a courageous leadership decision sacrificing short-term results for long-term capability [2]. The 2026 restructuring is defensive cost-cutting. No examples identified of leadership choosing a difficult long-term path when an easier short-term option was available — the company's recent history is defined by responding to external pressure rather than leading from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Crown Castle at a 5.6% dividend yield and 34.65x forward earnings is a simplified pure-play tower REIT following the $8.5B fiber divestiture completed May 2026, offering exposure to the irreplaceable physical infrastructure layer of US wireless networks [1]. Organic tower growth of 3.4% (excluding Sprint/DISH non-renewals) provides a stable foundation, and the $65M annual restructuring savings should improve AFFO margins as they reach full run-rate in 2027. The ~40,000 tower portfolio benefits from secular tailwinds — AI-driven data consumption, 5G network densification, and carrier capital spending — and the long-term contract structure with 3% annual escalators provides predictable cash flow visibility. AFFO guidance was raised $5M at midpoint for FY2026, signaling stabilization after the strategic reset [1].</w:t>
      </w:r>
    </w:p>
    <w:p>
      <w:pPr>
        <w:spacing w:after="120"/>
      </w:pPr>
      <w:r>
        <w:rPr>
          <w:rFonts w:ascii="Calibri" w:hAnsi="Calibri"/>
          <w:b w:val="0"/>
          <w:color w:val="3A4A28"/>
          <w:sz w:val="20"/>
        </w:rPr>
        <w:t>The bear case centers on revenue decline, dividend sustainability, and governance instability. Site rental revenues declined 4.8% YoY in Q2 2026, and the towers-only company faces a revenue base ~30% smaller than the pre-divestiture entity, with Sprint and DISH non-renewals creating a multi-year revenue headwind [1]. The 166% earnings-based payout ratio (typical for REITs paying from FFO/AFFO rather than GAAP earnings) raises questions about dividend sustainability in a declining revenue environment — the dividend was already cut 30% from peak levels in 2024 [4]. Corporate governance remains a concern after Elliott Management's activist campaign forced out CEO Jay Brown and multiple senior leaders, creating organizational instability and a culture described as toxic by employees. The Forward P/E of 34.65 prices Crown Castle as a growth stock despite negative revenue growth, creating valuation risk if organic growth does not accelerate [4]. The Inspire Impact Score of 53 (ALIGNED) is a positive for faith-based investors but cannot offset the structural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Carrier 5G network densification driving new tenant additions on existing tower sites, with each incremental tenant adding high-margin revenue due to the shared infrastructure model and minimal incremental capital requirements [1]</w:t>
      </w:r>
    </w:p>
    <w:p>
      <w:pPr>
        <w:spacing w:before="40" w:after="40"/>
        <w:ind w:left="283"/>
      </w:pPr>
      <w:r>
        <w:rPr>
          <w:rFonts w:ascii="Calibri" w:hAnsi="Calibri"/>
          <w:b/>
          <w:color w:val="4A6B25"/>
          <w:sz w:val="20"/>
        </w:rPr>
        <w:t xml:space="preserve">2. </w:t>
      </w:r>
      <w:r>
        <w:rPr>
          <w:rFonts w:ascii="Calibri" w:hAnsi="Calibri"/>
          <w:b w:val="0"/>
          <w:color w:val="3A4A28"/>
          <w:sz w:val="20"/>
        </w:rPr>
        <w:t>Completion of Sprint and DISH non-renewal headwinds (expected to largely flush through by FY2027), allowing organic growth of 3.4%+ to flow through to headline revenue growth [1]</w:t>
      </w:r>
    </w:p>
    <w:p>
      <w:pPr>
        <w:spacing w:before="40" w:after="40"/>
        <w:ind w:left="283"/>
      </w:pPr>
      <w:r>
        <w:rPr>
          <w:rFonts w:ascii="Calibri" w:hAnsi="Calibri"/>
          <w:b/>
          <w:color w:val="4A6B25"/>
          <w:sz w:val="20"/>
        </w:rPr>
        <w:t xml:space="preserve">3. </w:t>
      </w:r>
      <w:r>
        <w:rPr>
          <w:rFonts w:ascii="Calibri" w:hAnsi="Calibri"/>
          <w:b w:val="0"/>
          <w:color w:val="3A4A28"/>
          <w:sz w:val="20"/>
        </w:rPr>
        <w:t>Restructuring savings of $65M annually reaching full run-rate in 2027, improving AFFO margins and potentially enabling modest dividend increases from the reduced $4.25/year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revenue decline from carrier non-renewals and contract churn — Sprint and DISH impacts totaling ~$200M annually are not yet fully absorbed, and any additional carrier consolidation could create further headwinds [1]</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risk with a 166% earnings-based payout ratio and a 30% cut already executed in 2024 — if tower organic growth does not accelerate beyond 3.4%, another dividend reduction is possible as $29.9B in debt matures [4]</w:t>
      </w:r>
    </w:p>
    <w:p>
      <w:pPr>
        <w:spacing w:before="40" w:after="40"/>
        <w:ind w:left="283"/>
      </w:pPr>
      <w:r>
        <w:rPr>
          <w:rFonts w:ascii="Calibri" w:hAnsi="Calibri"/>
          <w:b/>
          <w:color w:val="4A6B25"/>
          <w:sz w:val="20"/>
        </w:rPr>
        <w:t xml:space="preserve">3. </w:t>
      </w:r>
      <w:r>
        <w:rPr>
          <w:rFonts w:ascii="Calibri" w:hAnsi="Calibri"/>
          <w:b w:val="0"/>
          <w:color w:val="3A4A28"/>
          <w:sz w:val="20"/>
        </w:rPr>
        <w:t>Corporate governance instability following Elliott Management's activist campaign that ousted prior leadership, created organizational dysfunction reflected in Glassdoor reviews, and left the company without a tested long-term strategic vision beyond simplification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Crown Castle's ~40,000 cell towers are physical infrastructure that AI structurally cannot displace — wireless carriers require tower sites for 5G deployment and network densification regardless of AI developments [1]. The tower business model is built on long-term contracts (typically 10-15 years) with 3% annual escalators, providing predictable cash flows immune to software-based disruption. AI adoption drives increased mobile data consumption, edge computing requirements, and data center connectivity, all of which increase demand for wireless infrastructure and tower lease renewals. The sole structural risk is from network architecture evolution — densification trends that could eventually shift value from macro towers to small cells — but Crown Castle's dominant tower position provides a durable physical moat. AI Opportunity (0/1): Crown Castle does not generate revenue from AI products or services; it is a passive infrastructure owner that benefits indirectly from AI-driven data demand but does not monetize AI technology directly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Crown Castle Q2 2026 Earnings Release — Revenue $1.01B (-4.8% YoY), EPS $0.22, Organic Growth 3.4%, AFFO Guidance Raised $5M, July 2026</w:t>
      </w:r>
    </w:p>
    <w:p>
      <w:pPr>
        <w:spacing w:before="20" w:after="20"/>
        <w:ind w:left="170"/>
      </w:pPr>
      <w:r>
        <w:rPr>
          <w:rFonts w:ascii="Calibri" w:hAnsi="Calibri"/>
          <w:b/>
          <w:color w:val="4A6B25"/>
          <w:sz w:val="15"/>
        </w:rPr>
        <w:t xml:space="preserve">2. </w:t>
      </w:r>
      <w:r>
        <w:rPr>
          <w:rFonts w:ascii="Calibri" w:hAnsi="Calibri"/>
          <w:b w:val="0"/>
          <w:color w:val="3A4A28"/>
          <w:sz w:val="17"/>
        </w:rPr>
        <w:t>Crown Castle Fiber Divestiture ($8.5B, completed May 1, 2026), 2026 Restructuring ($65M annual savings target), Elliott Management Activist Campaign — SEC Filings, Investor Relations, 2024-2026</w:t>
      </w:r>
    </w:p>
    <w:p>
      <w:pPr>
        <w:spacing w:before="20" w:after="20"/>
        <w:ind w:left="170"/>
      </w:pPr>
      <w:r>
        <w:rPr>
          <w:rFonts w:ascii="Calibri" w:hAnsi="Calibri"/>
          <w:b/>
          <w:color w:val="4A6B25"/>
          <w:sz w:val="15"/>
        </w:rPr>
        <w:t xml:space="preserve">3. </w:t>
      </w:r>
      <w:r>
        <w:rPr>
          <w:rFonts w:ascii="Calibri" w:hAnsi="Calibri"/>
          <w:b w:val="0"/>
          <w:color w:val="3A4A28"/>
          <w:sz w:val="17"/>
        </w:rPr>
        <w:t>Crown Castle 2023 ESG Report — Carbon Neutrality Goal, NESG Committee Oversight, Low Controversy Level (Sustainalytics) —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CCI Key Statistics: Forward P/E 34.65, PEG 0.82, Dividend Yield 5.6%, Stock Price $75.84,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