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CCJ</w:t>
      </w:r>
      <w:r>
        <w:rPr>
          <w:rFonts w:ascii="Calibri" w:hAnsi="Calibri"/>
          <w:b/>
          <w:color w:val="1A2010"/>
          <w:sz w:val="40"/>
        </w:rPr>
        <w:t xml:space="preserve">  Cameco Corporation</w:t>
      </w:r>
    </w:p>
    <w:p>
      <w:pPr>
        <w:spacing w:after="120"/>
      </w:pPr>
      <w:r>
        <w:rPr>
          <w:rFonts w:ascii="Calibri" w:hAnsi="Calibri"/>
          <w:b/>
          <w:color w:val="6E8450"/>
          <w:sz w:val="18"/>
        </w:rPr>
        <w:t>GROWTH SLEEVE · 2026-08-27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Mining &amp; Nuclear Fuel · NYSE · Canada</w:t>
      </w:r>
    </w:p>
    <w:p>
      <w:pPr>
        <w:spacing w:after="80"/>
      </w:pPr>
      <w:r>
        <w:rPr>
          <w:rFonts w:ascii="Calibri" w:hAnsi="Calibri"/>
          <w:b w:val="0"/>
          <w:color w:val="3A4A28"/>
          <w:sz w:val="20"/>
        </w:rPr>
        <w:t>Cameco Corporation is one of the world's largest uranium producers and a provider of nuclear fuel processing services. Through its 49% stake in Westinghouse Electric Company (acquired with Brookfield in 2023), Cameco spans the full nuclear fuel cycle: uranium mining (McArthur River, Cigar Lake at 57.4% ownership), conversion, fabrication, reactor technology, and plant services. Q1 2026 revenue rose 7% to CA$845M with adjusted EBITDA surging 44% to CA$509M. Long-term contracts cover 230M lbs of uranium deliveries through 2030, including a landmark $2.6B India supply agreement. Headquartered in Saskatoon, Saskatchewan.</w:t>
      </w:r>
    </w:p>
    <w:p>
      <w:r>
        <w:rPr>
          <w:rFonts w:ascii="Calibri" w:hAnsi="Calibri"/>
          <w:b/>
          <w:color w:val="6E8450"/>
          <w:sz w:val="18"/>
        </w:rPr>
        <w:t>2,600 Employees · https://www.cameco.com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The transformative 49% Westinghouse acquisition completed in 2023 redefined Cameco from a pure uranium miner into an integrated nuclear fuel company spanning the entire fuel cycle — mining, conversion, fabrication, reactor technology, and plant services [3]. This was a multi-billion-dollar business model transformation with no precedent in the uranium industry. Additionally, the historic $2.6B supply agreement with India's Department of Atomic Energy (22M lbs over nine years) opened a major new market, and the increase in Cigar Lake ownership to 57.4% consolidated control over one of the world's highest-grade deposits [1]. AI Deployment (0/2): Cameco deploys robots and automation in mining operations for safety and efficiency, but has no AI products shipping to customers or quantified AI-driven cost savings. Glassdoor reviews suggest some internal resistance to AI adoption from upper management [4]. Market Share (2/2): One of the world's largest uranium producers with dominant positions in Saskatchewan's high-grade deposits. With Westinghouse, Cameco is uniquely positioned across the entire nuclear fuel cycle — a combination no competitor can match, making it the essential supplier as nuclear demand accelerates from AI data center power needs [3]. Product Pipeline (1/2): Long-term contracts for 230M lbs of uranium through 2030, Westinghouse EBITDA guided to $370-430M for 2026, and the India agreement provide multi-year revenue visibility [1][3]. However, as a mining and fuel services company, Cameco does not have named next-generation products with specific launch dates in the traditional sense. R&amp;D Intensity (0/1): Mining company with minimal R&amp;D spending relative to revenue; innovation comes through strategic acquisitions and operational excellence rather than laboratory research. Westinghouse contributes reactor R&amp;D but this is not yet a distinguishing factor.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Cameco's purpose of safe uranium production for clean and reliable nuclear energy connects genuinely to decarbonization and energy security — causes larger than quarterly earnings. The company lived this purpose by maintaining mines and workforce through years of depressed uranium prices post-Fukushima, demonstrating commitment beyond profit maximization [3]. However, the articulation remains functional rather than deeply distinctive or aspirational. Community Impact (2/2): One of Canada's largest employers of Indigenous people in northern Saskatchewan, with collaborative relationships built over decades of genuine partnership in remote communities [5]. This is not token philanthropy — it represents structural community investment through employment, training, and business opportunities for Indigenous peoples that are core to Cameco's social license to operate. Employee Retention (1/2): Glassdoor rating of 4.2/5 with strong work-life balance scores (4.0/5) and positive culture reviews suggest above-average employee satisfaction for a mining company [4]. The safety-first culture with ergonomics protocols and 120+ supervisors trained in safety leadership reflects investment in workforce welfare. However, specific tenure or turnover data is not publicly available. Insider Buying (0/2): No notable insider buying data was identified for the review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Cameco's balance sheet is exceptionally strong with D/E of just 14%, reflecting conservative capital management for a mining company [6]. Revenue growth 5-year CAGR of approximately 14% reflects the uranium market recovery and Westinghouse contribution, well above the 10% target [1]. Q1 2026 delivered CA$845M revenue (+7% YoY) with net earnings up 87% and adjusted EBITDA surging 44% to CA$509M [2]. The primary weakness is extreme valuation — Forward P/E of 86x exceeds the 60x floor, scoring 0, reflecting the massive growth premium embedded in the nuclear renaissance thesis [6]. ROE of 9.60% is moderate (scoring 0.64), reflecting conservative capital structure rather than aggressive leverage. Net profit margin of 10.21% (scoring 0.51) is depressed by Westinghouse purchase accounting amortization. PEG ratio of approximately 2.0 reflects high expected earnings growth partially offsetting the extreme PE. Liquidity clears the floor at approximately $410M daily dollar volume (4M shares x ~$103).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Cameco is a textbook infinite game player in the energy sector. The company maintained mines, workforce, and strategic patience through a decade-long uranium price depression following Fukushima (2011-2020), voluntarily curtailing McArthur River production rather than flooding a weak market. When the opportunity arose, Cameco made the contrarian Westinghouse acquisition to transform from a commodity miner into an integrated nuclear fuel company. The collaborative partnership with Orano at Cigar Lake, long-tenured leadership, and deep commitment to Indigenous employment in northern Saskatchewan all reflect a company playing to keep playing.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Cameco's purpose of providing clean nuclear energy connects genuinely to climate change mitigation and energy security — causes that transcend quarterly earnings and will outlast any individual leader [3]. The company demonstrated this conviction by maintaining its workforce and mine readiness through years of depressed uranium prices post-Fukushima, absorbing significant costs rather than abandoning the industry. The Westinghouse acquisition extended this cause from uranium supply to the full nuclear fuel cycle. However, the articulation of purpose remains functional — 'safe production of uranium' — rather than reaching the aspirational, forward-looking standard that earns the highest score. The cause is real but not yet the company's primary competitive weapon in the way that defines top-tier Just Causes.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Cameco demonstrates several markers of organizational trust. The safety-first culture with specific programs and 120+ supervisors trained in safety leadership shows investment in employee welfare beyond mere compliance [5]. As one of Canada's largest employers of Indigenous people in northern Saskatchewan, the company has built deep community trust through decades of genuine partnership. Leadership transitions have been orderly — the promotion of CFO Grant Isaac to President and COO in September 2025 reflects healthy succession planning and internal development. However, with approximately 2,600 employees operating in remote locations, limited public data on employee engagement or psychological safety prevents a higher score [4].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Cameco partners with Orano (a primary competitor in uranium production) at the Cigar Lake mine, demonstrating that collaboration in service of the nuclear energy cause can coexist with competition [3]. Management acknowledges Kazatomprom's cost advantages in Kazakh in-situ recovery mining without disparagement, focusing instead on its own strengths in high-grade conventional deposits and integrated fuel services. The competitive language from leadership focuses on building the best nuclear fuel platform rather than defeating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2023 Westinghouse acquisition represents a fundamental redefinition of Cameco's identity — from pure uranium miner to integrated nuclear fuel company spanning mining, conversion, fabrication, reactor technology, and plant services [3]. This was not a desperate pivot but a strategic transformation executed from a position of strength when the nuclear industry was still unfashionable. Earlier, the voluntary curtailment of McArthur River production in 2018 — shutting the world's largest high-grade uranium mine to preserve long-term market health — demonstrated willingness to sacrifice near-term revenue for the long game, a decision that ultimately allowed Cameco to capitalize on the uranium price recovery.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Cameco has repeatedly made contrarian decisions that prioritized long-term value over short-term comfort. Maintaining operations and workforce through the post-Fukushima uranium price depression (2011-2020) required absorbing years of reduced profitability when many competitors exited or downsized [3]. The voluntary curtailment of McArthur River in 2018 — shutting down production at the world's largest high-grade uranium mine rather than producing into a weak market — was a bold decision that Wall Street initially punished but proved prescient as uranium prices recovered. The multi-billion-dollar Westinghouse acquisition was contrarian, made when nuclear energy remained politically controversial and ESG-focused investors avoided the sector entirely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Cameco sits at the center of a structural uranium supercycle driven by the convergence of decarbonization mandates, energy security concerns, and unprecedented AI data center power demand [3]. Q1 2026 confirmed the thesis with revenue up 7%, net earnings up 87%, and adjusted EBITDA surging 44% YoY to CA$509M as uranium spot prices reached $88.49/lb (+34% YoY) and long-term prices hit $91.50/lb [2]. The 49% Westinghouse stake (EBITDA guided to $370-430M for 2026) transforms Cameco into the only publicly traded company spanning the full nuclear fuel cycle [3]. With D/E of just 14%, long-term contracts covering 230M lbs through 2030, and the landmark $2.6B India supply agreement, Cameco has exceptional revenue visibility and balance sheet strength. Microsoft, Google, Amazon, and Meta are all pursuing nuclear power for data centers, making uranium an essential fuel for the AI energy transition [3].</w:t>
      </w:r>
    </w:p>
    <w:p>
      <w:pPr>
        <w:spacing w:after="120"/>
      </w:pPr>
      <w:r>
        <w:rPr>
          <w:rFonts w:ascii="Calibri" w:hAnsi="Calibri"/>
          <w:b w:val="0"/>
          <w:color w:val="3A4A28"/>
          <w:sz w:val="20"/>
        </w:rPr>
        <w:t>The primary concern is extreme valuation. At ~86x forward earnings and ~174x trailing earnings, Cameco is priced for a nuclear renaissance that must materialize at scale — any slowdown in uranium contract signings, delays in reactor construction, or shifts in data center energy strategy toward alternatives (gas, geothermal, SMRs from competitors) could trigger severe multiple compression [6]. ROE of 9.60% is modest for a stock commanding such a premium, reflecting conservative capital structure and Westinghouse purchase accounting drag on GAAP earnings. Q2 2026 showed the lumpiness risk — net earnings fell to just $25M versus $131M in Q1 due to normal delivery variations, yet the market cap remains ~$45B [1]. The 0.20% dividend yield provides negligible income support. Geopolitical risk persists as Kazakhstan (Kazatomprom) produces approximately 40% of global uranium supply, creating potential disruption from sanctions or political instability. Cameco also faces execution risk on Westinghouse integration and Brookfield's planned IPO of Westinghouse at a potential $30B valuation, which could reshape the ownership structure and strategic direction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buildout driving unprecedented long-term uranium demand as hyperscalers commit to nuclear power procurement — uranium spot prices at $88.49/lb (+34% YoY) with long-term contracts at $91.50/lb near decade highs [3]</w:t>
      </w:r>
    </w:p>
    <w:p>
      <w:pPr>
        <w:spacing w:before="40" w:after="40"/>
        <w:ind w:left="283"/>
      </w:pPr>
      <w:r>
        <w:rPr>
          <w:rFonts w:ascii="Calibri" w:hAnsi="Calibri"/>
          <w:b/>
          <w:color w:val="4A6B25"/>
          <w:sz w:val="20"/>
        </w:rPr>
        <w:t xml:space="preserve">2. </w:t>
      </w:r>
      <w:r>
        <w:rPr>
          <w:rFonts w:ascii="Calibri" w:hAnsi="Calibri"/>
          <w:b w:val="0"/>
          <w:color w:val="3A4A28"/>
          <w:sz w:val="20"/>
        </w:rPr>
        <w:t>Westinghouse EBITDA ramping to $370-430M guidance for 2026 and potential Brookfield-led IPO at ~$30B valuation, which could crystallize value for Cameco's 49% stake [3]</w:t>
      </w:r>
    </w:p>
    <w:p>
      <w:pPr>
        <w:spacing w:before="40" w:after="40"/>
        <w:ind w:left="283"/>
      </w:pPr>
      <w:r>
        <w:rPr>
          <w:rFonts w:ascii="Calibri" w:hAnsi="Calibri"/>
          <w:b/>
          <w:color w:val="4A6B25"/>
          <w:sz w:val="20"/>
        </w:rPr>
        <w:t xml:space="preserve">3. </w:t>
      </w:r>
      <w:r>
        <w:rPr>
          <w:rFonts w:ascii="Calibri" w:hAnsi="Calibri"/>
          <w:b w:val="0"/>
          <w:color w:val="3A4A28"/>
          <w:sz w:val="20"/>
        </w:rPr>
        <w:t>India uranium supply agreement ($2.6B, 22M lbs over 9 years) and increased Cigar Lake ownership to 57.4% expanding both market reach and production capacity in the world's highest-grade deposits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~86x forward earnings prices in a nuclear renaissance that must materialize at scale — any shift in data center energy strategy toward alternatives or delays in reactor permitting could trigger severe multiple compression [6]</w:t>
      </w:r>
    </w:p>
    <w:p>
      <w:pPr>
        <w:spacing w:before="40" w:after="40"/>
        <w:ind w:left="283"/>
      </w:pPr>
      <w:r>
        <w:rPr>
          <w:rFonts w:ascii="Calibri" w:hAnsi="Calibri"/>
          <w:b/>
          <w:color w:val="4A6B25"/>
          <w:sz w:val="20"/>
        </w:rPr>
        <w:t xml:space="preserve">2. </w:t>
      </w:r>
      <w:r>
        <w:rPr>
          <w:rFonts w:ascii="Calibri" w:hAnsi="Calibri"/>
          <w:b w:val="0"/>
          <w:color w:val="3A4A28"/>
          <w:sz w:val="20"/>
        </w:rPr>
        <w:t>Geopolitical concentration risk as Kazakhstan (Kazatomprom) produces approximately 40% of global uranium supply, creating potential supply disruption or price volatility from sanctions, trade restrictions, or political instability</w:t>
      </w:r>
    </w:p>
    <w:p>
      <w:pPr>
        <w:spacing w:before="40" w:after="40"/>
        <w:ind w:left="283"/>
      </w:pPr>
      <w:r>
        <w:rPr>
          <w:rFonts w:ascii="Calibri" w:hAnsi="Calibri"/>
          <w:b/>
          <w:color w:val="4A6B25"/>
          <w:sz w:val="20"/>
        </w:rPr>
        <w:t xml:space="preserve">3. </w:t>
      </w:r>
      <w:r>
        <w:rPr>
          <w:rFonts w:ascii="Calibri" w:hAnsi="Calibri"/>
          <w:b w:val="0"/>
          <w:color w:val="3A4A28"/>
          <w:sz w:val="20"/>
        </w:rPr>
        <w:t>Q2 2026 earnings of just $25M (versus Q1's $131M) demonstrate delivery lumpiness and Westinghouse integration complexity, while the planned Brookfield IPO of Westinghouse at ~$30B could reshape ownership structure and create strategic uncertainty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Uranium mining and nuclear fuel production are irreducibly physical-world operations that artificial intelligence cannot substitute, automate away, or disintermediate [1][3]. The extraction of uranium from underground deposits, conversion to uranium hexafluoride, and fabrication into fuel assemblies require specialized infrastructure, regulatory licensing, and decades of operational expertise that exist entirely outside the digital domain. More importantly, AI is actively driving demand for Cameco's core product — hyperscale data centers require massive amounts of reliable 24/7 baseload power, and nuclear energy has emerged as the primary solution. Microsoft, Google, Amazon, and Meta have all announced nuclear power procurement strategies, making uranium an essential fuel for the AI energy transition. Spot uranium prices sit at $88.49/lb (+34% YoY) and long-term prices at $91.50/lb are near 2012 highs, reflecting this structural demand shift [3]. AI Opportunity (0/1): No AI-derived revenue streams. Cameco benefits from AI indirectly through dramatically increased nuclear energy demand, but does not sell AI products, services, or AI-enabled solutions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Cameco Q2 FY2026 Results — Net Earnings $25M, Adjusted NE $77M, Adjusted EBITDA $391M, Lower Deliveries vs Q1, cameco.com, July 2026</w:t>
      </w:r>
    </w:p>
    <w:p>
      <w:pPr>
        <w:spacing w:before="20" w:after="20"/>
        <w:ind w:left="170"/>
      </w:pPr>
      <w:r>
        <w:rPr>
          <w:rFonts w:ascii="Calibri" w:hAnsi="Calibri"/>
          <w:b/>
          <w:color w:val="4A6B25"/>
          <w:sz w:val="15"/>
        </w:rPr>
        <w:t xml:space="preserve">2. </w:t>
      </w:r>
      <w:r>
        <w:rPr>
          <w:rFonts w:ascii="Calibri" w:hAnsi="Calibri"/>
          <w:b w:val="0"/>
          <w:color w:val="3A4A28"/>
          <w:sz w:val="17"/>
        </w:rPr>
        <w:t>Cameco Q1 FY2026 Results — Revenue CA$845M (+7% YoY), Net Earnings CA$131M (+87%), Adjusted EBITDA CA$509M (+44%), India Supply Agreement $2.6B, May 2026</w:t>
      </w:r>
    </w:p>
    <w:p>
      <w:pPr>
        <w:spacing w:before="20" w:after="20"/>
        <w:ind w:left="170"/>
      </w:pPr>
      <w:r>
        <w:rPr>
          <w:rFonts w:ascii="Calibri" w:hAnsi="Calibri"/>
          <w:b/>
          <w:color w:val="4A6B25"/>
          <w:sz w:val="15"/>
        </w:rPr>
        <w:t xml:space="preserve">3. </w:t>
      </w:r>
      <w:r>
        <w:rPr>
          <w:rFonts w:ascii="Calibri" w:hAnsi="Calibri"/>
          <w:b w:val="0"/>
          <w:color w:val="3A4A28"/>
          <w:sz w:val="17"/>
        </w:rPr>
        <w:t>Cameco Nuclear Strategy, Westinghouse 49% Stake, AI Data Center Demand, Uranium Spot $88.49/lb (+34% YoY), Long-Term $91.50/lb, Brookfield IPO Plans — Motley Fool, Globe and Mail, EnkiAI, 2026</w:t>
      </w:r>
    </w:p>
    <w:p>
      <w:pPr>
        <w:spacing w:before="20" w:after="20"/>
        <w:ind w:left="170"/>
      </w:pPr>
      <w:r>
        <w:rPr>
          <w:rFonts w:ascii="Calibri" w:hAnsi="Calibri"/>
          <w:b/>
          <w:color w:val="4A6B25"/>
          <w:sz w:val="15"/>
        </w:rPr>
        <w:t xml:space="preserve">4. </w:t>
      </w:r>
      <w:r>
        <w:rPr>
          <w:rFonts w:ascii="Calibri" w:hAnsi="Calibri"/>
          <w:b w:val="0"/>
          <w:color w:val="3A4A28"/>
          <w:sz w:val="17"/>
        </w:rPr>
        <w:t>Cameco Leadership and Culture — CEO Tim Gitzel (retired Aug 2025), Glassdoor 4.2/5, Safety Culture, Remote Mining Workforce, Built In/Glassdoor, 2026</w:t>
      </w:r>
    </w:p>
    <w:p>
      <w:pPr>
        <w:spacing w:before="20" w:after="20"/>
        <w:ind w:left="170"/>
      </w:pPr>
      <w:r>
        <w:rPr>
          <w:rFonts w:ascii="Calibri" w:hAnsi="Calibri"/>
          <w:b/>
          <w:color w:val="4A6B25"/>
          <w:sz w:val="15"/>
        </w:rPr>
        <w:t xml:space="preserve">5. </w:t>
      </w:r>
      <w:r>
        <w:rPr>
          <w:rFonts w:ascii="Calibri" w:hAnsi="Calibri"/>
          <w:b w:val="0"/>
          <w:color w:val="3A4A28"/>
          <w:sz w:val="17"/>
        </w:rPr>
        <w:t>Cameco ESG and Indigenous Employment — Largest Indigenous Employer in Northern Saskatchewan, VP Sustainability Reports to CEO, Environmental Practices, cameco.com,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GuruFocus — CCJ Key Statistics: Forward P/E ~86x, D/E 14%, ROE 9.60%, Profit Margin 10.21%, Stock Price $102.51,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