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CCL</w:t>
      </w:r>
      <w:r>
        <w:rPr>
          <w:rFonts w:ascii="Calibri" w:hAnsi="Calibri"/>
          <w:b/>
          <w:color w:val="1A2010"/>
          <w:sz w:val="40"/>
        </w:rPr>
        <w:t xml:space="preserve">  Carnival Corporation &amp; plc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-53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Travel Services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Carnival Corporation is the world's largest cruise company, operating brands including Carnival Cruise Line, Princess, Holland America, Costa, AIDA, P&amp;O and Cunard. Q3 FY2026 (ended Aug 31) revenue was a record $8.44B (+3.5% YoY) with EPS of $1.43 versus $1.35 expected, and FY2026 EPS guidance was raised to $2.24 with EBITDA above $7B [1]. Market cap is about $34.6B.</w:t>
      </w:r>
    </w:p>
    <w:p>
      <w:r>
        <w:rPr>
          <w:rFonts w:ascii="Calibri" w:hAnsi="Calibri"/>
          <w:b/>
          <w:color w:val="6E8450"/>
          <w:sz w:val="18"/>
        </w:rPr>
        <w:t>https://www.carnivalcorp.com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Carnival opened the Celebration Key private destination and rolled out the OceanMedallion wearable platform, one significant new revenue stream, though the core product is unchanged [2]. AI Deployment (0/2): no quantified AI products or savings were found. Market Share (2/2): the world's largest cruise operator with record revenue of $8.44B in Q3 2026 and yields guided up about 2.3% for FY2026 [1]. Pipeline (1/2): new ships and destinations are in the pipeline but dated, revenue-quantified next-gen products were not found. R&amp;D (0/1): no meaningful R&amp;D spend; capex is ship-driven.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Carnival's stated purpose is delivering joyful, memorable vacations with extraordinary care, clear but not distinctive among travel peers [2]. Community Impact (1/2): corporate philanthropy and sustainability programs exist but no distinctive, dollar-quantified community initiative was found [3]. Employee Retention (0/2): no retention data found, and reviews cite 60% recommend rate and fear-based management complaints [2]. Insider Buying (0/2): no net insider buying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Growth; liquidity passed (21.1M shares x $25.76 = ~$543M daily). D/E of 177.1% scores 0.53; ROE of 24.0% scores 1.0 (2x); revenue growth of 3.5% scores 0.78; 5-year revenue CAGR (pandemic recovery, ~35%) scores 1.0 (2x); forward P/E of 10.1 scores 1.0; profit margin of 11.4% scores 0.57. PEG unavailable and excluded. Weighted 6.89 of 8 gives 8.6, rounded to 9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Carnival has survived the pandemic and is repairing its balance sheet, but its purpose is a service promise rather than a Just Cause and its history includes finite behavior such as leverage-fueled growth. Culture signals are mixed, and the company shows incremental rather than transformative adaptation.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joyful vacations is a purpose statement interchangeable with other travel brands and does not visibly drive strategy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Josh Weinstein holds a 63% approval rating while reviews report a mixed culture, some citing fear-based leadership; adequate but not exceptional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competitive messaging focuses on yield, capacity and share versus Royal Caribbean and Norwegian; no rival-learning evidence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paused operations in 2020, then added private destinations and onboard monetization, incremental changes to the core model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kept the fleet and pursued deleveraging after the pandemic rather than shrinking, and invested in Celebration Key; some long-term commitment, but capital returns resumed as earnings recovered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Carnival at $25.76 trades at 10.1x forward earnings with record results: Q3 FY2026 revenue was $8.44B (+3.5%), EPS $1.43 beat consensus of $1.35, and FY2026 EPS guidance rose to $2.24 with EBITDA above $7B [1]. Ticket revenue grew 1.8% to $5.5B and onboard revenue 6.7% to $2.9B, ROE is 24%, and profit margin is 11.4% as debt is repaid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balance sheet is still the constraint: D/E of 177% and a cyclical, discretionary business exposed to fuel prices, consumer weakness and geopolitical shocks. Revenue growth has slowed to 3.5% and yield guidance of about 2.3% implies maturing post-pandemic demand [1]. MSCI rates the company B (laggard), and the stock rose about 13% on the Q3 print, reducing valuation cushion; the ESG profile includes gambling and emissions scrutiny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yield growth (FY2026 guided ~2.3%) and onboard spend growth of 6.7% lifting EPS toward the raised $2.24 guide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Celebration Key and private-destination ramp raising per-passenger spend and itinerary quality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Deleveraging toward investment-grade status reducing interest cost on a D/E of 177%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Consumer discretionary slowdown or fuel-price spike compressing yields; Q3 revenue growth was only 3.5%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High leverage (D/E 177%) leaves limited resilience against another demand or operational shock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Regulatory and environmental scrutiny of cruise emissions; MSCI rates the company a laggard (B), risking IMO and port restrictions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cruising is a physical-world experience that AI cannot substitute; the main exposure is AI agents and online travel platforms intermediating bookings and pricing, though Carnival sells largely direct and onboard revenue grew 6.7% to $2.9B [1]. Analysts have not flagged AI as an earnings threat. AI Opportunity (0/1): no quantifiable AI revenue was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-53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Gambling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Carnival Q3 FY2026 earnings release, call highlights and 10-Q, Investing.com / GuruFocus / SEC EDGAR,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Carnival leadership and culture - Glassdoor, Carnival Corporation leadership pages, Computerworld,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Carnival ESG ratings - KnowESG (MSCI B, Sustainalytics 24.9), Carnival sustainability disclosures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