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CCO</w:t>
      </w:r>
      <w:r>
        <w:rPr>
          <w:rFonts w:ascii="Calibri" w:hAnsi="Calibri"/>
          <w:b/>
          <w:color w:val="1A2010"/>
          <w:sz w:val="40"/>
        </w:rPr>
        <w:t xml:space="preserve">  Clear Channel Outdoor Holdings, Inc.</w:t>
      </w:r>
    </w:p>
    <w:p>
      <w:pPr>
        <w:spacing w:after="120"/>
      </w:pPr>
      <w:r>
        <w:rPr>
          <w:rFonts w:ascii="Calibri" w:hAnsi="Calibri"/>
          <w:b/>
          <w:color w:val="6E8450"/>
          <w:sz w:val="18"/>
        </w:rPr>
        <w:t>GROWTH SLEEVE · 2026-10-14 · Inspire: 54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Advertising Agencies · NYQ · United States</w:t>
      </w:r>
    </w:p>
    <w:p>
      <w:pPr>
        <w:spacing w:after="80"/>
      </w:pPr>
      <w:r>
        <w:rPr>
          <w:rFonts w:ascii="Calibri" w:hAnsi="Calibri"/>
          <w:b w:val="0"/>
          <w:color w:val="3A4A28"/>
          <w:sz w:val="20"/>
        </w:rPr>
        <w:t>Clear Channel Outdoor is one of the largest out-of-home (OOH) media companies in the United States, operating billboards, transit advertising, and digital displays across 43 of the top 50 US markets plus airport advertising in the US and Singapore. The company has been converting its portfolio to digital displays, with digital revenue growing 10.2% in the most recent period. Q2 2026 revenue grew 8.7% YoY to $438M with adjusted EBITDA up 11.6% to $143.4M. However, the company carries $6.47B in total debt against negative shareholders' equity and is expected to go private in a $6.2B take-private deal in the coming months [1].</w:t>
      </w:r>
    </w:p>
    <w:p>
      <w:r>
        <w:rPr>
          <w:rFonts w:ascii="Calibri" w:hAnsi="Calibri"/>
          <w:b/>
          <w:color w:val="6E8450"/>
          <w:sz w:val="18"/>
        </w:rPr>
        <w:t>1,900 Employees · https://clearchanneloutdoor.com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Clear Channel has executed a meaningful but industry-standard digital transformation, growing digital revenue to 44.6% of total with 10.2% digital growth [1]. However, this print-to-digital conversion is common across OOH peers (Lamar, JCDecaux, OUTFRONT) and does not represent a company-defining innovation. The sale of the Spain business for $132.3M shows portfolio simplification rather than strategic reinvention [1]. AI Deployment (1/2): The RADAR suite of audience measurement tools uses mobile location data for campaign targeting and attribution, and CMO Dan Levi discussed in January 2024 how AI supports creative work and campaign optimization [2]. These represent functional AI deployment, though with limited quantified results. Market Share (1/2): Clear Channel operates in 43 of the top 50 US markets and is a leading US OOH company, but ranks behind Lamar Advertising in scale and has been exiting international markets (sold Spain, previously sold European operations), reducing its competitive footprint [1][2]. Product Pipeline (1/2): Digital display conversion and programmatic OOH advertising expansion provide a clear pipeline, but the pending take-private deal creates uncertainty about post-acquisition product strategy, and the company held no earnings call and provided no forward guidance [1]. R&amp;D Intensity (0/1): As an advertising media company, Clear Channel's technology investment is not differentiated from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Clear Channel's purpose centers on helping brands connect with real-world audiences through OOH media — functional and descriptive but entirely generic, interchangeable with any advertising company, and lacking a vision of a better future beyond selling advertising inventory [2]. Community Impact (1/2): The company publishes annual ESG reports, joined the UN Global Compact, and has set a carbon net-zero target — standard corporate sustainability commitments rather than distinctive community investment [3]. Employee Retention (0/2): No specific retention data available. The pending take-private deal creates significant organizational uncertainty, and the 1,900-person workforce faces unknown outcomes post-acquisition. Insider Buying (0/2): No evidence of meaningful insider buying identified in the last 12 months. With the stock trading near the take-private deal price, the risk-reward for insider buying is minimal.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Clear Channel's infrastructure is severely impaired by its balance sheet — $6.47B in total debt against negative shareholders' equity makes D/E undefined (scored at floor 0.0) and ROE uncalculable (scored at floor 0.0, 2x weight) [1]. Profit margin of -6.3% falls below the 0% floor (score 0.0), and PEG of 16.57 far exceeds the 3.0 floor (score 0.0, 2x weight). Forward P/E is unavailable as the company is unprofitable on a GAAP basis (excluded). The positives are revenue growth YoY of 8.7% (score 0.96) and estimated 5-year CAGR of approximately 5.0% (score 0.67, 2x weight), reflecting recovery from COVID-era lows and digital conversion momentum [1]. Weighted sum 2.29/9 excluding Forward P/E. The stock clears the liquidity floor with approximately $16.3M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Clear Channel is playing a definitionally finite game — the company is being taken private by a consortium, effectively ending its independent public existence [1]. The massive $6.47B debt load that created negative equity reflects years of leveraged financial engineering from the 2008 iHeartMedia/Clear Channel LBO era, not infinite game investment. While the digital transformation and revenue growth show operational competence, the company never articulated a compelling Just Cause beyond selling advertising, and the acceptance of a take-private deal signals leadership's acknowledgment that the independent path was unsustainable under the current capital structure.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Clear Channel does not articulate a Just Cause in Sinek's framework. The company's purpose is functional — connecting brands with audiences through OOH media — describing a business model rather than a vision of a future so appealing that people would sacrifice to advance it [2]. The pending take-private transaction at a fraction of enterprise value suggests leadership views the business as a financial asset to be optimized rather than a cause to be advanced. No evidence of purpose-driven strategic decisions beyond financial restructuring.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Scott Wells has provided stable leadership, and the workforce has delivered consistent revenue growth (H1 2026 up 10.2%) despite the organizational uncertainty of a pending acquisition [1]. The upgraded executive team — including a CMO, president of sales, and programmatic and research leads — suggests functional organizational stability [2]. However, no specific evidence of psychological safety or employee empowerment was identified, and the acquisition uncertainty inevitably undermines long-term organizational commitment.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worthy rivals thinking was found. Clear Channel's competitive positioning focuses on market share metrics (43 of top 50 markets, FIFA World Cup campaign wins, airport dominance) rather than learning from Lamar, JCDecaux, or OUTFRONT's strengths [1]. The OOH industry's competitive dynamics are largely about scale and location quality rather than strategic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Clear Channel has executed a meaningful shift from legacy print billboards to digital displays (44.6% of revenue) and added programmatic buying capabilities, data-driven targeting (RADAR), and airport advertising as growth vectors [1][2]. The sale of European operations and Spain business shows willingness to reshape the portfolio. However, accepting an acquisition rather than continuing to transform independently suggests the company reached the limits of its existential flexibility under the current capital structure.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Scott Wells navigated the company through COVID recovery, accelerated digital transformation from print to 44.6% digital revenue, and executed the Spain business sale for $132.3M to reduce debt while maintaining operational momentum [1]. Managing operations under $6.47B in crushing debt requires pragmatic discipline. However, ultimately accepting a take-private deal reflects acceptance of financial constraints rather than courageous long-term investment in the independent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Clear Channel at $2.43 is effectively a merger arbitrage situation with limited independent investment thesis — the stock trades at the pending take-private price from a consortium, with closure expected in the coming months [1]. The underlying business shows genuine operational improvement: Q2 2026 revenue grew 8.7% to $438M, adjusted EBITDA rose 11.6% to $143.4M, and H1 revenue grew 10.2% YoY, driven by digital conversion (44.6% of revenue), FIFA World Cup advertising demand, and strong airport segment performance (+14% revenue, +22.8% EBITDA) [1]. The Inspire Impact Score of 54 (ALIGNED) with no negative attributions is the strongest faith alignment in the batch. As a going concern, the business generates positive free cash flow ($81M TTM) against a $1.24B market cap.</w:t>
      </w:r>
    </w:p>
    <w:p>
      <w:pPr>
        <w:spacing w:after="120"/>
      </w:pPr>
      <w:r>
        <w:rPr>
          <w:rFonts w:ascii="Calibri" w:hAnsi="Calibri"/>
          <w:b w:val="0"/>
          <w:color w:val="3A4A28"/>
          <w:sz w:val="20"/>
        </w:rPr>
        <w:t>The bear case is dominated by the capital structure and the finite outcome of being acquired. The $6.47B in total debt against negative shareholders' equity creates a balance sheet that is structurally unsustainable as a public company [1]. Enterprise value of approximately $7.5B against market cap of only $1.24B means debt holders own the vast majority of the company's value. GAAP profit margin of -6.3% shows the debt service burden overwhelms operating income. For investors not engaged in merger arbitrage, the stock offers minimal upside to the deal price and regulatory approval risk. The company held no earnings call and provided no financial guidance because it expects to go private, eliminating forward visibility. If the deal fails, the standalone equity story is precarious with negative equity and negative GAAP profitability. The company's finite game outcome (being acquired) makes it unsuitable as a long-term IOWN holding.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Take-private deal closure expected in the coming months would deliver a modest return from the current price, with the primary catalyst being regulatory approval and final shareholder vote completion [1]</w:t>
      </w:r>
    </w:p>
    <w:p>
      <w:pPr>
        <w:spacing w:before="40" w:after="40"/>
        <w:ind w:left="283"/>
      </w:pPr>
      <w:r>
        <w:rPr>
          <w:rFonts w:ascii="Calibri" w:hAnsi="Calibri"/>
          <w:b/>
          <w:color w:val="4A6B25"/>
          <w:sz w:val="20"/>
        </w:rPr>
        <w:t xml:space="preserve">2. </w:t>
      </w:r>
      <w:r>
        <w:rPr>
          <w:rFonts w:ascii="Calibri" w:hAnsi="Calibri"/>
          <w:b w:val="0"/>
          <w:color w:val="3A4A28"/>
          <w:sz w:val="20"/>
        </w:rPr>
        <w:t>If the deal fails, underlying business fundamentals — 8.7% Q2 revenue growth, 10.2% H1 growth, and expanding digital revenue (44.6% of total) — could support a higher standalone valuation if combined with debt restructuring [1]</w:t>
      </w:r>
    </w:p>
    <w:p>
      <w:pPr>
        <w:spacing w:before="40" w:after="40"/>
        <w:ind w:left="283"/>
      </w:pPr>
      <w:r>
        <w:rPr>
          <w:rFonts w:ascii="Calibri" w:hAnsi="Calibri"/>
          <w:b/>
          <w:color w:val="4A6B25"/>
          <w:sz w:val="20"/>
        </w:rPr>
        <w:t xml:space="preserve">3. </w:t>
      </w:r>
      <w:r>
        <w:rPr>
          <w:rFonts w:ascii="Calibri" w:hAnsi="Calibri"/>
          <w:b w:val="0"/>
          <w:color w:val="3A4A28"/>
          <w:sz w:val="20"/>
        </w:rPr>
        <w:t>Airport advertising segment momentum (revenue +14%, EBITDA +22.8%) driven by FIFA World Cup and global air travel growth, providing a high-margin growth engine with strong secular tailwinds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Take-private regulatory risk — any delay or failure of the acquisition could send the stock sharply lower, as the $6.47B debt load makes the standalone equity story precarious with negative equity and -6.3% GAAP profit margin [1]</w:t>
      </w:r>
    </w:p>
    <w:p>
      <w:pPr>
        <w:spacing w:before="40" w:after="40"/>
        <w:ind w:left="283"/>
      </w:pPr>
      <w:r>
        <w:rPr>
          <w:rFonts w:ascii="Calibri" w:hAnsi="Calibri"/>
          <w:b/>
          <w:color w:val="4A6B25"/>
          <w:sz w:val="20"/>
        </w:rPr>
        <w:t xml:space="preserve">2. </w:t>
      </w:r>
      <w:r>
        <w:rPr>
          <w:rFonts w:ascii="Calibri" w:hAnsi="Calibri"/>
          <w:b w:val="0"/>
          <w:color w:val="3A4A28"/>
          <w:sz w:val="20"/>
        </w:rPr>
        <w:t>Crushing debt burden of $6.47B with interest costs consuming operating cash flow — if the deal fails, the company faces continued negative GAAP profitability and limited financial flexibility for investment in digital conversion or expansion [1]</w:t>
      </w:r>
    </w:p>
    <w:p>
      <w:pPr>
        <w:spacing w:before="40" w:after="40"/>
        <w:ind w:left="283"/>
      </w:pPr>
      <w:r>
        <w:rPr>
          <w:rFonts w:ascii="Calibri" w:hAnsi="Calibri"/>
          <w:b/>
          <w:color w:val="4A6B25"/>
          <w:sz w:val="20"/>
        </w:rPr>
        <w:t xml:space="preserve">3. </w:t>
      </w:r>
      <w:r>
        <w:rPr>
          <w:rFonts w:ascii="Calibri" w:hAnsi="Calibri"/>
          <w:b w:val="0"/>
          <w:color w:val="3A4A28"/>
          <w:sz w:val="20"/>
        </w:rPr>
        <w:t>Secular shift of advertising budgets toward AI-optimized digital platforms (Google, Meta, Amazon) with superior targeting and attribution could compress OOH's share of total ad spend over time, particularly for print billboard inventory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Clear Channel's core business operates physical outdoor advertising infrastructure — billboards, transit displays, airport screens — that AI cannot digitally substitute [1]. People encounter OOH advertising in the physical world, and no AI tool can replicate the experience of seeing a billboard on a highway or a digital display in an airport terminal. This structural physical moat provides meaningful protection from AI disruption. However, AI-powered digital advertising platforms (Google, Meta, programmatic display) are increasingly competing for the same advertising budgets with superior measurement, attribution, and targeting capabilities. AI-optimized ad allocation could shift incremental advertising dollars away from OOH toward digitally targeted channels, compressing OOH's share of total ad spend over time. AI Opportunity (1/1): The RADAR suite uses AI-powered audience measurement, campaign planning, and attribution tools — RADARView for audience targeting, RADARConnect for campaign amplification, RADARProof for measurement, and RADARSync for data integration [2]. These represent functional AI revenue-enabling tools deployed in customer-facing applications.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Clear Channel Outdoor Q2 2026 Earnings — Revenue $438M (+8.7%), Adjusted EBITDA $143.4M (+11.6%), H1 Revenue +10.2%, Airport Revenue +14%, Digital 44.6% of Revenue, Spain Sale $132.3M, Take-Private Expected — SEC 10-Q, Barchart, BillboardInsider, Invidis, July-August 2026</w:t>
      </w:r>
    </w:p>
    <w:p>
      <w:pPr>
        <w:spacing w:before="20" w:after="20"/>
        <w:ind w:left="170"/>
      </w:pPr>
      <w:r>
        <w:rPr>
          <w:rFonts w:ascii="Calibri" w:hAnsi="Calibri"/>
          <w:b/>
          <w:color w:val="4A6B25"/>
          <w:sz w:val="15"/>
        </w:rPr>
        <w:t xml:space="preserve">2. </w:t>
      </w:r>
      <w:r>
        <w:rPr>
          <w:rFonts w:ascii="Calibri" w:hAnsi="Calibri"/>
          <w:b w:val="0"/>
          <w:color w:val="3A4A28"/>
          <w:sz w:val="17"/>
        </w:rPr>
        <w:t>Clear Channel Outdoor Leadership and Innovation — CEO Scott Wells, RADAR Audience Tools, Digital Transformation, AI for Creative and Campaign Optimization — Mission.org, MMA Global, CCO Leadership Page, 2022-2026</w:t>
      </w:r>
    </w:p>
    <w:p>
      <w:pPr>
        <w:spacing w:before="20" w:after="20"/>
        <w:ind w:left="170"/>
      </w:pPr>
      <w:r>
        <w:rPr>
          <w:rFonts w:ascii="Calibri" w:hAnsi="Calibri"/>
          <w:b/>
          <w:color w:val="4A6B25"/>
          <w:sz w:val="15"/>
        </w:rPr>
        <w:t xml:space="preserve">3. </w:t>
      </w:r>
      <w:r>
        <w:rPr>
          <w:rFonts w:ascii="Calibri" w:hAnsi="Calibri"/>
          <w:b w:val="0"/>
          <w:color w:val="3A4A28"/>
          <w:sz w:val="17"/>
        </w:rPr>
        <w:t>Clear Channel Outdoor ESG — 2024 ESG Report, UN Global Compact, Carbon Net-Zero Target, No Major Controversies Identified — Investor Relations, Clear Channel,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CCO Key Statistics: Stock Price $2.43, Market Cap $1.24B, Total Debt $6.47B, Profit Margin -6.31%, Avg Volume 6.7M,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