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CC</w:t>
      </w:r>
      <w:r>
        <w:rPr>
          <w:rFonts w:ascii="Calibri" w:hAnsi="Calibri"/>
          <w:b/>
          <w:color w:val="1A2010"/>
          <w:sz w:val="40"/>
        </w:rPr>
        <w:t xml:space="preserve">  The Chemours Company</w:t>
      </w:r>
    </w:p>
    <w:p>
      <w:pPr>
        <w:spacing w:after="120"/>
      </w:pPr>
      <w:r>
        <w:rPr>
          <w:rFonts w:ascii="Calibri" w:hAnsi="Calibri"/>
          <w:b/>
          <w:color w:val="6E8450"/>
          <w:sz w:val="18"/>
        </w:rPr>
        <w:t>GROWTH SLEEVE · 2026-08-31 · Inspire: 43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NYSE · United States</w:t>
      </w:r>
    </w:p>
    <w:p>
      <w:pPr>
        <w:spacing w:after="80"/>
      </w:pPr>
      <w:r>
        <w:rPr>
          <w:rFonts w:ascii="Calibri" w:hAnsi="Calibri"/>
          <w:b w:val="0"/>
          <w:color w:val="3A4A28"/>
          <w:sz w:val="20"/>
        </w:rPr>
        <w:t>The Chemours Company is a global specialty chemicals company spun off from DuPont in 2015, operating across three segments: Titanium Technologies (TiO2 pigments), Thermal &amp; Specialized Solutions (Opteon refrigerants, liquid cooling for data centers), and Advanced Performance Materials (fluoropolymers, battery binder technology). Led by CEO Denise Dignam, a 26-year DuPont/Chemours veteran appointed in 2024. Q2 2026 revenue of $1.59B declined 1.5% YoY, missing the $1.67B estimate, with adjusted EPS of $0.42. GAAP net loss of $274M (-$1.81/share) reflects PFAS-related reserves. In June 2026, Chemours reached a landmark $450M PFAS settlement with the EPA covering contamination at four facilities across three states.</w:t>
      </w:r>
    </w:p>
    <w:p>
      <w:r>
        <w:rPr>
          <w:rFonts w:ascii="Calibri" w:hAnsi="Calibri"/>
          <w:b/>
          <w:color w:val="6E8450"/>
          <w:sz w:val="18"/>
        </w:rPr>
        <w:t>6,100 Employees · https://www.chemours.com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Chemours' Thermal &amp; Specialized Solutions segment delivered 22% YoY sales growth in Q1 2026, driven by Opteon refrigerant demand from the global HFC phasedown mandate and emerging liquid cooling solutions for AI data centers [1]. However, overall TTM revenue of $5.82B reflects only modest growth, TiO2 faces secular pressure from Chinese oversupply, and the 2024 CEO/CFO suspension for financial reporting issues severely damaged credibility [3]. AI Deployment (0/2): No AI-powered products shipping and no specific AI-driven internal cost savings reported. Chemours is a traditional chemicals manufacturer without meaningful operational AI deployment [2]. Market Share (1/2): Chemours is a top-3 global TiO2 producer and a leading manufacturer of Opteon next-generation refrigerants, benefiting from regulatory-driven demand through the Kigali Amendment HFC phasedown [1]. However, TiO2 is a commodity market with significant Chinese competition eroding pricing power. Product Pipeline (1/2): The HFC phasedown regulation creates a clear demand runway for Opteon through the 2030s, and the appointment of Joseph Kava (Google VP of Data Centers) to the board signals strategic focus on AI data center cooling as a growth vector [2]. Company guides 3-5% revenue growth and $800-900M adjusted EBITDA for FY2026 [1]. R&amp;D Intensity (1/1): Chemours invests in fluorochemistry R&amp;D, particularly Opteon formulations, liquid cooling technology, and battery binder materials for EVs, at levels above the commodity chemicals industry average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Chemours' mission is to 'help create a colorful, capable, and cleaner world through the power of chemistry' [2]. This is generic for a chemicals company — interchangeable with any specialty chemicals peer — and has been severely undermined by the PFAS contamination controversy, where the company knowingly discharged 'forever chemicals' affecting hundreds of thousands of residents near its facilities [4]. Community Impact (0/2): PFAS contamination from Chemours facilities in North Carolina, West Virginia, and New Jersey affected over 500,000 residents in the Cape Fear River watershed, with UN human rights experts condemning the company's conduct [4]. The June 2026 EPA settlement requires $22.5M in civil penalties and $90M in mitigation projects over 15 years, representing compliance obligations rather than voluntary community investment [5]. Employee Retention (0/2): CEO Mark Newman and CFO Jonathan Lock were placed on administrative leave in 2024 during an internal review of financial reporting practices, signaling a toxic 'tone at the top' [3]. New CEO Denise Dignam emphasizes transparency and culture transformation but organizational trust recovery is still in early stages. Insider Buying (1/2): New CEO Dignam has 26+ years of DuPont/Chemours experience and meaningful equity exposure, suggesting long-term alignment, but no significant net insider buying by executives has been identified in recent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(yield 1.36% &lt; 2%). D/E of 2034% ($4.39B debt against ~$216M equity) is catastrophically high, far exceeding the 300% floor (score 0.0) [6]. ROE of -103% reflects massive GAAP losses including PFAS reserves (score 0.0, 2x weight). Profit margin of -6.65% scores 0.0. Forward P/E of ~18x at $24.86 is below the 20x target (score 1.0). Revenue growth YoY weakened to approximately +1.0% (Q2 2026 declined 1.5% YoY, score 0.70), and 5-year CAGR of ~2.2% scores 0.48 with 2x weight. PEG unavailable (excluded). Calculation: weighted sum 2.66 / max 8.0 x 10 = 3.3, rounded to 3. Liquidity cleared: 3.23M avg volume x $24.86 = $80.3M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Chemours demonstrates predominantly finite game thinking. The PFAS contamination legacy, corporate governance failures (CEO/CFO placed on leave for financial reporting issues in 2024), and severe balance sheet distress suggest an organization focused on survival and quarterly management rather than long-term cause advancement. New CEO Dignam's emphasis on transparency and the 'Pathway to Thrive' strategy offer a potential shift, but the company has not yet demonstrated the consistency needed to validate infinite game credentials.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Chemours claims 'responsible chemistry' as its purpose, but this has been directly contradicted by the PFAS contamination scandal — UN human rights experts concluded the company 'knew about risks but kept making toxic PFAS chemicals' [4]. The $2B+ in environmental settlements and the June 2026 EPA settlement ($22.5M penalty + $90M mitigation) demonstrate a persistent gap between stated purpose and historical behavior [5]. The Opteon transition from harmful HFC refrigerants provides a partial redemption narrative, but the credibility of any stated cause remains deeply damaged.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2024 suspension of CEO Mark Newman and CFO Jonathan Lock for financial reporting irregularities — described as problems with 'tone at the top' — reveals a deeply dysfunctional leadership environment [3]. This is the antithesis of Sinek's Circle of Safety. New CEO Denise Dignam (26-year DuPont/Chemours veteran) emphasizes transparency and values-driven leadership and is actively rebuilding trust, but the organizational trauma of a CEO/CFO suspension for financial misconduct occurred only two years ago, and cultural repair of this magnitude takes considerably longer.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competitors' strengths or using rivalry constructively. Chemours operates in commodity TiO2 markets with significant Chinese competition and speaks primarily about regulatory advantages (HFC phasedown) rather than learning from rival capabilities [1]. Competitive language focuses on market position rather than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Chemours' strategic pivot from legacy HFC refrigerants to Opteon next-generation products represents meaningful business model evolution, with the TSS segment delivering 22% YoY sales growth in Q1 2026 [1]. The emerging pivot toward liquid cooling solutions for AI data centers, evidenced by the Google VP board appointment, shows continued strategic adaptation [2]. However, the Opteon adaptation was forced by regulation (Kigali Amendment HFC phasedown) rather than being a proactive choice in service of a Just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2024 financial reporting scandal, where the board had to place its own CEO and CFO on leave, demonstrates the opposite of courageous leadership [3]. The 65% dividend cut from $0.25 to $0.088/quarter in 2025 reflects financial distress rather than bold reinvestment [6]. The June 2026 PFAS settlement with EPA, while progress, was compliance-driven rather than a voluntary principled stand [5]. No evidence of current leadership making costly long-term bets beyond what regulatory and financial necessity requires.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Chemours offers a deep value turnaround opportunity at ~18x forward earnings, with the stock up over 100% in 52 weeks as the market prices in PFAS settlement progress and Opteon growth. Q2 2026 adjusted EPS of $0.42 confirmed continued earnings recovery, while TSS segment growth driven by Opteon refrigerant demand from the HFC phasedown and emerging AI data center liquid cooling partnerships (DataVolt, 2CRSi, Navin Fluorine) positions a meaningful secular growth vector [1][2]. The landmark $450M EPA PFAS settlement in June 2026 represents the first comprehensive federal PFAS manufacturer settlement, potentially capping a major uncertainty overhang [5]. Opteon 2P50 immersion cooling delivers 90% energy reduction versus air cooling, positioning Chemours for the AI infrastructure buildout [2].</w:t>
      </w:r>
    </w:p>
    <w:p>
      <w:pPr>
        <w:spacing w:after="120"/>
      </w:pPr>
      <w:r>
        <w:rPr>
          <w:rFonts w:ascii="Calibri" w:hAnsi="Calibri"/>
          <w:b w:val="0"/>
          <w:color w:val="3A4A28"/>
          <w:sz w:val="20"/>
        </w:rPr>
        <w:t>The bear case remains severe. Chemours carries $4.39B in debt against ~$216M equity (D/E of 2034%), creating existential refinancing risk if credit markets tighten or earnings disappoint [6]. Q2 2026 revenue of $1.59B missed the $1.67B estimate by 5%, and TiO2 faces ongoing secular pressure from Chinese oversupply [1]. The $450M EPA PFAS settlement is progress but not an endpoint -- ongoing state claims, community opposition, and UN condemnation of the company's conduct create continued legal exposure [4][5]. The 2024 CEO/CFO suspension for financial reporting irregularities destroyed governance credibility [3]. TTM GAAP profit margin of -6.65% and ROE of -103% reflect a company still absorbing massive environmental liabilities. The stock's 100%+ rally over 52 weeks may have priced in the turnaround, and the 18.63% single-session decline after Q2 results shows the market's sensitivity to execution misses at these elevated levels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Opteon refrigerant demand acceleration as global HFC phasedown mandates tighten through the 2030s, with TSS segment delivering 22% YoY growth and AI data center liquid cooling adding a new demand vector [1][2]</w:t>
      </w:r>
    </w:p>
    <w:p>
      <w:pPr>
        <w:spacing w:before="40" w:after="40"/>
        <w:ind w:left="283"/>
      </w:pPr>
      <w:r>
        <w:rPr>
          <w:rFonts w:ascii="Calibri" w:hAnsi="Calibri"/>
          <w:b/>
          <w:color w:val="4A6B25"/>
          <w:sz w:val="20"/>
        </w:rPr>
        <w:t xml:space="preserve">2. </w:t>
      </w:r>
      <w:r>
        <w:rPr>
          <w:rFonts w:ascii="Calibri" w:hAnsi="Calibri"/>
          <w:b w:val="0"/>
          <w:color w:val="3A4A28"/>
          <w:sz w:val="20"/>
        </w:rPr>
        <w:t>PFAS litigation resolution momentum — June 2026 EPA settlement and prior $2B+ in settlements may represent progress toward capping total exposure and removing the tail risk overhang [5]</w:t>
      </w:r>
    </w:p>
    <w:p>
      <w:pPr>
        <w:spacing w:before="40" w:after="40"/>
        <w:ind w:left="283"/>
      </w:pPr>
      <w:r>
        <w:rPr>
          <w:rFonts w:ascii="Calibri" w:hAnsi="Calibri"/>
          <w:b/>
          <w:color w:val="4A6B25"/>
          <w:sz w:val="20"/>
        </w:rPr>
        <w:t xml:space="preserve">3. </w:t>
      </w:r>
      <w:r>
        <w:rPr>
          <w:rFonts w:ascii="Calibri" w:hAnsi="Calibri"/>
          <w:b w:val="0"/>
          <w:color w:val="3A4A28"/>
          <w:sz w:val="20"/>
        </w:rPr>
        <w:t>FY2026 EPS forecast of $1.36 (vs -$2.80 in FY2025) implies dramatic profitability recovery driven by Opteon pricing strength, cost improvement programs, and TiO2 stabilization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PFAS litigation tail risk remains open-ended despite the landmark $450M EPA settlement -- ongoing state claims, community opposition (North Carolina was excluded from EPA negotiations), and UN condemnation of decades of contamination create continued legal and reputational exposure [4][5]</w:t>
      </w:r>
    </w:p>
    <w:p>
      <w:pPr>
        <w:spacing w:before="40" w:after="40"/>
        <w:ind w:left="283"/>
      </w:pPr>
      <w:r>
        <w:rPr>
          <w:rFonts w:ascii="Calibri" w:hAnsi="Calibri"/>
          <w:b/>
          <w:color w:val="4A6B25"/>
          <w:sz w:val="20"/>
        </w:rPr>
        <w:t xml:space="preserve">2. </w:t>
      </w:r>
      <w:r>
        <w:rPr>
          <w:rFonts w:ascii="Calibri" w:hAnsi="Calibri"/>
          <w:b w:val="0"/>
          <w:color w:val="3A4A28"/>
          <w:sz w:val="20"/>
        </w:rPr>
        <w:t>Extreme leverage ($4.39B debt, 2034% D/E) with minimal equity creates existential refinancing risk — any earnings miss or credit market tightening could trigger covenant violations or liquidity crisis [6]</w:t>
      </w:r>
    </w:p>
    <w:p>
      <w:pPr>
        <w:spacing w:before="40" w:after="40"/>
        <w:ind w:left="283"/>
      </w:pPr>
      <w:r>
        <w:rPr>
          <w:rFonts w:ascii="Calibri" w:hAnsi="Calibri"/>
          <w:b/>
          <w:color w:val="4A6B25"/>
          <w:sz w:val="20"/>
        </w:rPr>
        <w:t xml:space="preserve">3. </w:t>
      </w:r>
      <w:r>
        <w:rPr>
          <w:rFonts w:ascii="Calibri" w:hAnsi="Calibri"/>
          <w:b w:val="0"/>
          <w:color w:val="3A4A28"/>
          <w:sz w:val="20"/>
        </w:rPr>
        <w:t>Governance credibility remains impaired two years after CEO/CFO suspension for financial reporting issues — combined with -6.65% profit margin, -103% ROE, and 65% dividend cut, this limits the company's ability to access capital markets on favorable terms [3][6]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Chemours' core business is physical-world manufacturing of specialty chemicals -- TiO2 pigments, fluoropolymers, and Opteon refrigerants -- that AI structurally cannot substitute [2]. These are physical products requiring chemical plants, regulatory approvals, and deep fluorochemistry expertise. The HFC phasedown regulation creates policy-driven demand independent of technology cycles. AI is more likely to increase demand for Chemours' thermal management products as AI data center cooling becomes critical infrastructure -- Opteon 2P50 two-phase immersion cooling reduces data center cooling energy by 90% versus air cooling [2]. AI Opportunity (1/1): Chemours generates quantifiable revenue from liquid cooling solutions for AI data centers through its TSS segment. Strategic partnerships with DataVolt and 2CRSi for two-phase liquid cooling deployment, plus a manufacturing agreement with Navin Fluorine International, validate the AI cooling revenue opportunity [2]. Board member Joseph Kava (former Google VP of Data Centers) and a newly appointed VP for liquid cooling growth signal organizational commitment to this vector.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Chemours Q1 and Q2 FY2026 Earnings -- Q2: Revenue $1.59B (-1.5% YoY, missed $1.67B est), Adj EPS $0.42, GAAP net loss $274M; Q1: EPS $0.05, TSS 22% YoY growth; FY2026 guidance 3-5% revenue growth and $800-900M adj EBITDA -- SEC Filings, Yahoo Finance, StockTitan, May-August 2026</w:t>
      </w:r>
    </w:p>
    <w:p>
      <w:pPr>
        <w:spacing w:before="20" w:after="20"/>
        <w:ind w:left="170"/>
      </w:pPr>
      <w:r>
        <w:rPr>
          <w:rFonts w:ascii="Calibri" w:hAnsi="Calibri"/>
          <w:b/>
          <w:color w:val="4A6B25"/>
          <w:sz w:val="15"/>
        </w:rPr>
        <w:t xml:space="preserve">2. </w:t>
      </w:r>
      <w:r>
        <w:rPr>
          <w:rFonts w:ascii="Calibri" w:hAnsi="Calibri"/>
          <w:b w:val="0"/>
          <w:color w:val="3A4A28"/>
          <w:sz w:val="17"/>
        </w:rPr>
        <w:t>Chemours Data Center Cooling Strategy -- DataVolt partnership, 2CRSi two-phase immersion deployment, Navin Fluorine manufacturing agreement, Opteon 2P50 (90% energy reduction), VP for liquid cooling growth appointed, Joseph Kava board member -- Investing.com, PRNewswire, Delaware Business Times, 2025-2026</w:t>
      </w:r>
    </w:p>
    <w:p>
      <w:pPr>
        <w:spacing w:before="20" w:after="20"/>
        <w:ind w:left="170"/>
      </w:pPr>
      <w:r>
        <w:rPr>
          <w:rFonts w:ascii="Calibri" w:hAnsi="Calibri"/>
          <w:b/>
          <w:color w:val="4A6B25"/>
          <w:sz w:val="15"/>
        </w:rPr>
        <w:t xml:space="preserve">3. </w:t>
      </w:r>
      <w:r>
        <w:rPr>
          <w:rFonts w:ascii="Calibri" w:hAnsi="Calibri"/>
          <w:b w:val="0"/>
          <w:color w:val="3A4A28"/>
          <w:sz w:val="17"/>
        </w:rPr>
        <w:t>CFO Dive, Delaware Business Times -- Chemours probes 'tone at the top,' CEO Mark Newman and CFO Jonathan Lock placed on leave, 2024; Dignam appointed CEO</w:t>
      </w:r>
    </w:p>
    <w:p>
      <w:pPr>
        <w:spacing w:before="20" w:after="20"/>
        <w:ind w:left="170"/>
      </w:pPr>
      <w:r>
        <w:rPr>
          <w:rFonts w:ascii="Calibri" w:hAnsi="Calibri"/>
          <w:b/>
          <w:color w:val="4A6B25"/>
          <w:sz w:val="15"/>
        </w:rPr>
        <w:t xml:space="preserve">4. </w:t>
      </w:r>
      <w:r>
        <w:rPr>
          <w:rFonts w:ascii="Calibri" w:hAnsi="Calibri"/>
          <w:b w:val="0"/>
          <w:color w:val="3A4A28"/>
          <w:sz w:val="17"/>
        </w:rPr>
        <w:t>Inside Climate News, OHCHR, SELC -- PFAS contamination controversy, UN human rights findings, $1.185B water systems settlement, $875M New Jersey settlement</w:t>
      </w:r>
    </w:p>
    <w:p>
      <w:pPr>
        <w:spacing w:before="20" w:after="20"/>
        <w:ind w:left="170"/>
      </w:pPr>
      <w:r>
        <w:rPr>
          <w:rFonts w:ascii="Calibri" w:hAnsi="Calibri"/>
          <w:b/>
          <w:color w:val="4A6B25"/>
          <w:sz w:val="15"/>
        </w:rPr>
        <w:t xml:space="preserve">5. </w:t>
      </w:r>
      <w:r>
        <w:rPr>
          <w:rFonts w:ascii="Calibri" w:hAnsi="Calibri"/>
          <w:b w:val="0"/>
          <w:color w:val="3A4A28"/>
          <w:sz w:val="17"/>
        </w:rPr>
        <w:t>EPA/Chemours Landmark $450M PFAS Settlement -- $22.5M civil penalty, $90M mitigation, 15-year pollution controls at four facilities across three states, North Carolina excluded from negotiations -- EPA.gov, ESG Dive, June 24,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CC Key Statistics: D/E 2034%, Stock Price $24.86, Market Cap $3.74B, +102% 52-week return,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