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CEG</w:t>
      </w:r>
      <w:r>
        <w:rPr>
          <w:rFonts w:ascii="Calibri" w:hAnsi="Calibri"/>
          <w:b/>
          <w:color w:val="1A2010"/>
          <w:sz w:val="40"/>
        </w:rPr>
        <w:t xml:space="preserve">  Constellation Energy Corporation</w:t>
      </w:r>
    </w:p>
    <w:p>
      <w:pPr>
        <w:spacing w:after="120"/>
      </w:pPr>
      <w:r>
        <w:rPr>
          <w:rFonts w:ascii="Calibri" w:hAnsi="Calibri"/>
          <w:b/>
          <w:color w:val="6E8450"/>
          <w:sz w:val="18"/>
        </w:rPr>
        <w:t>GROWTH SLEEVE · 2026-08-31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Independent Power Producers · NASDAQ · United States</w:t>
      </w:r>
    </w:p>
    <w:p>
      <w:pPr>
        <w:spacing w:after="80"/>
      </w:pPr>
      <w:r>
        <w:rPr>
          <w:rFonts w:ascii="Calibri" w:hAnsi="Calibri"/>
          <w:b w:val="0"/>
          <w:color w:val="3A4A28"/>
          <w:sz w:val="20"/>
        </w:rPr>
        <w:t>Constellation Energy is the largest producer of carbon-free energy and the nation's largest electricity producer, operating approximately 60 GW of generating capacity following the $16.4B Calpine acquisition completed January 2026. The fleet consists of 21 nuclear reactors across 12 facilities plus natural gas, wind, solar, and geothermal assets from Calpine. The company serves 2.5 million customers and is restarting the Crane Clean Energy Center (Three Mile Island Unit 1) under a 20-year Microsoft PPA to power AI data centers, with restart now expected as early as 2027 (accelerated from 2028). Q2 2026 delivered revenue of $7.5B and adjusted EPS of $2.55 (beating the $2.36 estimate), with guidance raised to $11.50-$12.50 for FY2026. TTM revenue reached $31.27B with $3.47B in profits. Ranked #1 on Barron's Most Sustainable U.S. Companies for 2026.</w:t>
      </w:r>
    </w:p>
    <w:p>
      <w:r>
        <w:rPr>
          <w:rFonts w:ascii="Calibri" w:hAnsi="Calibri"/>
          <w:b/>
          <w:color w:val="6E8450"/>
          <w:sz w:val="18"/>
        </w:rPr>
        <w:t>15,291 Employees · https://www.constellationenergy.com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Constellation has executed multiple transformative moves in rapid succession: the $16.4B Calpine acquisition (completed January 2026) creating a 60 GW clean energy giant and the nation's largest electricity producer, the Crane Clean Energy Center (Three Mile Island Unit 1) restart with a 20-year Microsoft PPA for 835 MW of AI data center power, and successful lobbying for nuclear inclusion in the Inflation Reduction Act [1][2]. Q1 2026 revenue jumped to $11.12B after the acquisition. AI Deployment (0/2): Constellation is a critical AI enabler through its power generation fleet but does not itself ship AI-powered products to customers or report specific AI-driven internal cost savings. The company's value proposition to AI is physical power generation, not software or AI tools [2]. Market Share (2/2): Constellation is now the largest clean energy producer and the largest overall electricity producer in the U.S. with approximately 60 GW capacity post-Calpine, including the nation's largest nuclear fleet of 21 reactors [1][2]. The Microsoft PPA establishes Constellation as the preferred nuclear power partner for hyperscalers. Product Pipeline (2/2): Crane Clean Energy Center restart targeted for 2028 with $1B DOE loan guarantee approved and FERC waiver granted in June 2026 [3]. Free cash flow projected at $8.4B in 2026-2027, rising to $11.5-$13.0B by 2028-2029. Specific projects with clear timelines and 20-year revenue visibility [1]. R&amp;D Intensity (1/1): The $1.6B Crane restart investment and growth capex program represent industry-leading investment intensity for a utility, with no peer pursuing comparable nuclear restart projects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Constellation's purpose — powering America's clean energy future through the 'Nuclear Renaissance' — is specific, forward-looking, and validated by the bold Three Mile Island restart [2]. CEO Joe Dominguez has built the company's identity around connecting nuclear power to both climate goals and AI infrastructure needs. The 20-year Microsoft PPA embodies commitment to a cause extending far beyond any CEO's tenure. The mission clearly shapes strategic decisions, though the company has only been independent since February 2022. Community Impact (1/2): The Crane Clean Energy Center restart will create 3,400 jobs, generate $3.6B in tax revenue, and provide $16B in economic impact for Pennsylvania [3]. Constellation operates critical energy infrastructure serving 2.5 million customers across multiple states. However, specific charitable programs or foundation activities beyond business-driven community economic impact were not identified. Employee Retention (1/2): Nuclear operations require specialized skills and extensive training, creating naturally long employee tenures. Constellation's safety record across 21 reactors demonstrates organizational discipline and cultural strength. However, no specific retention metrics, average tenure data, or employee survey results are publicly available [2]. Insider Buying (0/2): CEO Dominguez sold shares valued at $25.3M in February 2026, EVP Bryan Hanson sold $7.2M, and CFO Daniel Eggers sold $5.2M — nearly $38M in combined insider selling by the top three executives [4]. An 11-million-share secondary offering occurred in June 2026 at $281/share. Clear net insider selling pattern.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(yield ~0.6% &lt; 2%, consecutive years paid 4 &lt; 5). Q2 2026 delivered revenue of $7.5B (+23% YoY) with adjusted EPS of $2.55, beating the $2.36 estimate, and guidance was raised to $11.50-$12.50 [1]. TTM revenue reached $31.27B with $3.47B in profits. D/E of 76% narrowly exceeds the 70% target (score 0.974, 1x). ROE of 15.05% meets the 15% target (score 1.0, 2x weight). Revenue growth of ~25% YoY scores maximum (1x). Forward P/E of 23.0 scores 0.925 (1x). Profit margin of 11.09% scores 0.555 (1x). PEG of ~1.5 scores 0.75 (2x weight). 5yr CAGR excluded (company independent since 2022). Calculation: weighted sum 6.95 / max 8.0 x 10 = 8.7, rounded to 9. Liquidity easily cleared: ~4M avg volume x $270 = ~$1.08B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Constellation under CEO Joe Dominguez plays an extraordinary infinite game. Restarting Three Mile Island — a site associated with America's worst nuclear accident — to power AI data centers is the defining courageous energy bet of this decade. The 20-year Microsoft PPA, the $16.4B Calpine acquisition creating the nation's largest clean energy portfolio, the successful lobbying for nuclear inclusion in the IRA, and the 20%+ earnings growth trajectory through 2030 all reflect a company building for decades, not quarters.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Constellation's cause — providing carbon-free, reliable energy to power civilization's future through the 'Nuclear Renaissance' — is validated by the audacious Three Mile Island restart, a project that only makes sense if leadership genuinely believes nuclear power is essential to humanity's energy future [2]. Dominguez connects immediate business decisions to a multi-generational energy thesis. The 20-year Microsoft PPA embodies commitment extending far beyond any CEO's tenure. However, the company has only been independent since February 2022, providing insufficient history to confirm the purpose survives leadership transitions or economic downturns.</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Nuclear operations require the highest-trust teams in any industry — a culture failure at a nuclear plant has catastrophic consequences, making psychological safety and error reporting essential rather than optional [2]. Constellation's impeccable safety record across the nation's largest nuclear fleet of 21 reactors demonstrates deep organizational trust and discipline. Nuclear operators have naturally long tenures due to extensive training and specialization. The NRC's rigorous oversight framework reinforces a culture where employees must feel empowered to raise safety concerns without fear of reprisal.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Dominguez has positioned Constellation relative to rivals like NextEra and Duke Energy by focusing on what Constellation does uniquely — operate the largest nuclear fleet for 24/7 carbon-free power — rather than trying to out-build them in renewables [2]. The Calpine acquisition was framed as complementary diversification to serve data center demand, not competitive conquest. The company's competitive language focuses on its distinctive nuclear advantage rather than diminishing peers.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Constellation has shown meaningful flexibility by pivoting from a traditional utility to an AI-era energy infrastructure company, reframing nuclear power from a regulated commodity to a premium product sold directly to hyperscalers via long-term PPAs [2]. The $16.4B Calpine acquisition added natural gas and geothermal flexibility. However, the core business remains power generation — the pivot is in strategic positioning, customer mix, and contracting strategy rather than a fundamental business model transformation.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Restarting Three Mile Island — the site of America's worst nuclear accident — requires extraordinary courage and conviction [2][3]. Dominguez invested $1.6B, secured a $1B DOE loan guarantee, obtained a FERC waiver, and rebranded the facility as the Crane Clean Energy Center to bring 835 MW back online by 2028. His successful lobbying to include nuclear in the Inflation Reduction Act changed federal energy policy. The $16.4B Calpine acquisition was the largest deal in the utility sector. These are bet-the-company decisions made in service of a long-term cause, not quarterly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Constellation Energy is the defining AI-era energy infrastructure play -- the nation's largest electricity producer with 60 GW of capacity and the largest nuclear fleet serving hyperscaler data center demand [1][2]. Q2 2026 delivered $7.5B revenue and adjusted EPS of $2.55 (beating $2.36), leading management to raise FY2026 guidance to $11.50-$12.50 from $11.00-$12.00 [1]. The company signed approximately 920 MW of new long-term nuclear PPAs with investment-grade customers in Q2. The Crane Clean Energy Center restart has been accelerated to potentially 2027 (from original 2028 target), with $1B DOE loan guarantee, FERC waiver, and NRC draft environmental finding all secured [3]. TTM revenue reached $31.27B with $3.47B in profits. Ranked #1 on Barron's Most Sustainable U.S. Companies for 2026. Free cash flow projected at $8.4B in 2026-2027 rising to $11.5-$13.0B by 2028-2029 [1].</w:t>
      </w:r>
    </w:p>
    <w:p>
      <w:pPr>
        <w:spacing w:after="120"/>
      </w:pPr>
      <w:r>
        <w:rPr>
          <w:rFonts w:ascii="Calibri" w:hAnsi="Calibri"/>
          <w:b w:val="0"/>
          <w:color w:val="3A4A28"/>
          <w:sz w:val="20"/>
        </w:rPr>
        <w:t>The bear case centers on valuation expansion and execution complexity. At 23x forward earnings with a PEG of ~1.5, the stock has re-rated significantly from the $239 lows but remains 35% below the $412.70 peak [5]. D/E has risen to 76% with $24.7B in total debt reflecting Calpine integration financing, creating interest rate sensitivity for this capital-intensive business. CEO Dominguez sold $25.3M in shares and other executives sold $7-12M in early 2026 [4]. The Calpine natural gas fleet introduces carbon-intensity that creates ESG complexity despite the #1 Barron's sustainability ranking. Profit margin of 11.09% remains modest for a stock commanding growth-stock multiples. While guidance was raised, the NRC environmental assessment for Crane remains a key milestone -- any delays could push back the 2027 restart timeline and its associated 835 MW of contracted Microsoft PPA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Crane Clean Energy Center restart accelerated to potentially 2027, with $1B DOE loan guarantee, FERC waiver, and NRC draft environmental assessment all secured -- 835 MW of 20-year Microsoft PPA revenue visibility beginning upon restart [3]</w:t>
      </w:r>
    </w:p>
    <w:p>
      <w:pPr>
        <w:spacing w:before="40" w:after="40"/>
        <w:ind w:left="283"/>
      </w:pPr>
      <w:r>
        <w:rPr>
          <w:rFonts w:ascii="Calibri" w:hAnsi="Calibri"/>
          <w:b/>
          <w:color w:val="4A6B25"/>
          <w:sz w:val="20"/>
        </w:rPr>
        <w:t xml:space="preserve">2. </w:t>
      </w:r>
      <w:r>
        <w:rPr>
          <w:rFonts w:ascii="Calibri" w:hAnsi="Calibri"/>
          <w:b w:val="0"/>
          <w:color w:val="3A4A28"/>
          <w:sz w:val="20"/>
        </w:rPr>
        <w:t>920 MW of new long-term nuclear PPAs signed in Q2 2026 with investment-grade customers, plus raised FY2026 guidance to $11.50-$12.50 adjusted EPS demonstrates pricing power and demand strength across the 60 GW fleet [1]</w:t>
      </w:r>
    </w:p>
    <w:p>
      <w:pPr>
        <w:spacing w:before="40" w:after="40"/>
        <w:ind w:left="283"/>
      </w:pPr>
      <w:r>
        <w:rPr>
          <w:rFonts w:ascii="Calibri" w:hAnsi="Calibri"/>
          <w:b/>
          <w:color w:val="4A6B25"/>
          <w:sz w:val="20"/>
        </w:rPr>
        <w:t xml:space="preserve">3. </w:t>
      </w:r>
      <w:r>
        <w:rPr>
          <w:rFonts w:ascii="Calibri" w:hAnsi="Calibri"/>
          <w:b w:val="0"/>
          <w:color w:val="3A4A28"/>
          <w:sz w:val="20"/>
        </w:rPr>
        <w:t>Accelerating AI data center electricity demand creating premium pricing opportunities for Constellation's 24/7 carbon-free nuclear baseload power, with free cash flow expanding from $8.4B (2026-27) to $11.5-$13.0B (2028-29)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Nearly $38M in insider selling by CEO, EVP, and CFO in early 2026 when the stock was near its $412.70 peak -- while the stock has recovered from $239 to ~$270, insider selling patterns bear watching [4]</w:t>
      </w:r>
    </w:p>
    <w:p>
      <w:pPr>
        <w:spacing w:before="40" w:after="40"/>
        <w:ind w:left="283"/>
      </w:pPr>
      <w:r>
        <w:rPr>
          <w:rFonts w:ascii="Calibri" w:hAnsi="Calibri"/>
          <w:b/>
          <w:color w:val="4A6B25"/>
          <w:sz w:val="20"/>
        </w:rPr>
        <w:t xml:space="preserve">2. </w:t>
      </w:r>
      <w:r>
        <w:rPr>
          <w:rFonts w:ascii="Calibri" w:hAnsi="Calibri"/>
          <w:b w:val="0"/>
          <w:color w:val="3A4A28"/>
          <w:sz w:val="20"/>
        </w:rPr>
        <w:t>Calpine integration execution risk -- absorbing a $16.4B acquisition while managing the $1.6B Crane restart creates operational complexity, with $24.7B in total debt and D/E of 76% introducing material interest rate sensitivity [1][3]</w:t>
      </w:r>
    </w:p>
    <w:p>
      <w:pPr>
        <w:spacing w:before="40" w:after="40"/>
        <w:ind w:left="283"/>
      </w:pPr>
      <w:r>
        <w:rPr>
          <w:rFonts w:ascii="Calibri" w:hAnsi="Calibri"/>
          <w:b/>
          <w:color w:val="4A6B25"/>
          <w:sz w:val="20"/>
        </w:rPr>
        <w:t xml:space="preserve">3. </w:t>
      </w:r>
      <w:r>
        <w:rPr>
          <w:rFonts w:ascii="Calibri" w:hAnsi="Calibri"/>
          <w:b w:val="0"/>
          <w:color w:val="3A4A28"/>
          <w:sz w:val="20"/>
        </w:rPr>
        <w:t>Policy and regulatory risk — changes to IRA nuclear production tax credits, data center permitting restrictions, or NRC safety requirements could materially impact long-term growth assumptions supporting the current valuation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Constellation is among the most AI-immune businesses in the market — AI cannot replace nuclear power plants, and AI is the primary demand catalyst for Constellation's products [1][2]. Every AI data center requires massive amounts of 24/7 baseload power, and nuclear is the only carbon-free source that delivers continuous output. The Microsoft PPA for 835 MW of nuclear power specifically for AI workloads demonstrates that hyperscalers will pay premium prices for reliable carbon-free electricity. Constellation's 60 GW fleet is physical infrastructure with multi-decade operating lives, regulatory barriers to entry, and irreplaceable nuclear expertise. Analysts universally view AI as a tailwind for nuclear utilities [2]. AI Opportunity (1/1): Constellation directly monetizes AI demand through the 20-year Microsoft PPA for the Crane Clean Energy Center, specifically structured for AI data center power. Combined with Calpine's natural gas fleet serving data center markets, Constellation generates quantifiable AI-linked infrastructure revenue. The board appointment of Joseph Kava (Google VP of Data Centers) validates the strategic focus on AI power demand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Constellation Energy Q1 and Q2 FY2026 Earnings -- Q2: Revenue $7.5B, Adj EPS $2.55 (beat $2.36), 920 MW new nuclear PPAs, guidance raised to $11.50-$12.50; Q1: $11.12B revenue, GAAP EPS $4.49 -- BusinessWire, Yahoo Finance, SEC Filing, May-August 2026</w:t>
      </w:r>
    </w:p>
    <w:p>
      <w:pPr>
        <w:spacing w:before="20" w:after="20"/>
        <w:ind w:left="170"/>
      </w:pPr>
      <w:r>
        <w:rPr>
          <w:rFonts w:ascii="Calibri" w:hAnsi="Calibri"/>
          <w:b/>
          <w:color w:val="4A6B25"/>
          <w:sz w:val="15"/>
        </w:rPr>
        <w:t xml:space="preserve">2. </w:t>
      </w:r>
      <w:r>
        <w:rPr>
          <w:rFonts w:ascii="Calibri" w:hAnsi="Calibri"/>
          <w:b w:val="0"/>
          <w:color w:val="3A4A28"/>
          <w:sz w:val="17"/>
        </w:rPr>
        <w:t>Constellation Energy Corporate, Data Centre Magazine, Washington Examiner -- CEO Joe Dominguez Nuclear Renaissance, Microsoft 20-year PPA, Crane restart accelerated to 2027, AI data center strategy, #1 Barron's Most Sustainable Companies 2026</w:t>
      </w:r>
    </w:p>
    <w:p>
      <w:pPr>
        <w:spacing w:before="20" w:after="20"/>
        <w:ind w:left="170"/>
      </w:pPr>
      <w:r>
        <w:rPr>
          <w:rFonts w:ascii="Calibri" w:hAnsi="Calibri"/>
          <w:b/>
          <w:color w:val="4A6B25"/>
          <w:sz w:val="15"/>
        </w:rPr>
        <w:t xml:space="preserve">3. </w:t>
      </w:r>
      <w:r>
        <w:rPr>
          <w:rFonts w:ascii="Calibri" w:hAnsi="Calibri"/>
          <w:b w:val="0"/>
          <w:color w:val="3A4A28"/>
          <w:sz w:val="17"/>
        </w:rPr>
        <w:t>NRC, DOE, Federal Register -- Crane Clean Energy Center Draft Environmental Assessment June 2026, FERC waiver, $1B DOE loan guarantee, TMI restart regulatory progress</w:t>
      </w:r>
    </w:p>
    <w:p>
      <w:pPr>
        <w:spacing w:before="20" w:after="20"/>
        <w:ind w:left="170"/>
      </w:pPr>
      <w:r>
        <w:rPr>
          <w:rFonts w:ascii="Calibri" w:hAnsi="Calibri"/>
          <w:b/>
          <w:color w:val="4A6B25"/>
          <w:sz w:val="15"/>
        </w:rPr>
        <w:t xml:space="preserve">4. </w:t>
      </w:r>
      <w:r>
        <w:rPr>
          <w:rFonts w:ascii="Calibri" w:hAnsi="Calibri"/>
          <w:b w:val="0"/>
          <w:color w:val="3A4A28"/>
          <w:sz w:val="17"/>
        </w:rPr>
        <w:t>MarketBeat, SEC Form 4 -- CEO Dominguez $25.3M share sale, EVP Hanson $7.2M, CFO Eggers $5.2M insider selling, February 2026; 11M share secondary offering at $281, June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CEG Key Statistics: D/E 76%, ROE 15.05%, Forward PE 23.0, TTM Revenue $31.27B, $24.7B debt, Market Cap ~$95B,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