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CENX</w:t>
      </w:r>
      <w:r>
        <w:rPr>
          <w:rFonts w:ascii="Calibri" w:hAnsi="Calibri"/>
          <w:b/>
          <w:color w:val="1A2010"/>
          <w:sz w:val="40"/>
        </w:rPr>
        <w:t xml:space="preserve">  Century Aluminum Company</w:t>
      </w:r>
    </w:p>
    <w:p>
      <w:pPr>
        <w:spacing w:after="120"/>
      </w:pPr>
      <w:r>
        <w:rPr>
          <w:rFonts w:ascii="Calibri" w:hAnsi="Calibri"/>
          <w:b/>
          <w:color w:val="6E8450"/>
          <w:sz w:val="18"/>
        </w:rPr>
        <w:t>GROWTH SLEEVE · 2026-09-08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Aluminum · NASDAQ · United States</w:t>
      </w:r>
    </w:p>
    <w:p>
      <w:pPr>
        <w:spacing w:after="80"/>
      </w:pPr>
      <w:r>
        <w:rPr>
          <w:rFonts w:ascii="Calibri" w:hAnsi="Calibri"/>
          <w:b w:val="0"/>
          <w:color w:val="3A4A28"/>
          <w:sz w:val="20"/>
        </w:rPr>
        <w:t>Century Aluminum is the largest producer of primary aluminum in the United States, operating smelters in Ravenswood, West Virginia and Grundartangi, Iceland (restarting July 2026). In Q1 2026, the company sold its Hawesville, Kentucky smelter for a $287.9M gain, retaining 6.8% equity in an AI data center redevelopment. Century is developing a major greenfield smelter in partnership with Emirates Global Aluminium, backed by a $500M DOE grant — the first new US primary aluminum smelter since 1980. Q2 2026 revenue was $752.1M with adjusted EBITDA of $327M as restart projects lifted shipments to 131,000 tons.</w:t>
      </w:r>
    </w:p>
    <w:p>
      <w:r>
        <w:rPr>
          <w:rFonts w:ascii="Calibri" w:hAnsi="Calibri"/>
          <w:b/>
          <w:color w:val="6E8450"/>
          <w:sz w:val="18"/>
        </w:rPr>
        <w:t>2,400 Employees · https://www.centuryaluminum.com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Major strategic pivot under CEO Jesse Gary toward expanded domestic production with the Oklahoma greenfield smelter JV with Emirates Global Aluminium — the first new US primary aluminum smelter since 1980, backed by a $500M DOE grant [1]. Sale of the curtailed Hawesville smelter for $287.9M with 6.8% retained equity in an AI data center redevelopment demonstrates creative capital reallocation [1]. Iceland Grundartangi smelter restart accelerated to July 2026, with Q2 shipments reaching 131,000 tons (+6% sequentially) [2]. AI Deployment (0/2): No AI-powered products or quantified AI-driven savings reported. The company uses AI for predictive maintenance and energy optimization in smelter operations, but these are internal operational tools without measurable impact disclosed [3]. The Hawesville-to-AI data center conversion is an asset disposition, not Century deploying AI. Market Share (2/2): Largest US primary aluminum producer in a structurally constrained domestic market where tariff protections have elevated the strategic importance of remaining domestic capacity [1][2]. With Alcoa largely shifted to bauxite/alumina and most US smelters permanently closed, Century holds dominant share of remaining domestic primary production. Product Pipeline (0/2): Oklahoma smelter is a multi-year build with uncertain final investment timeline and no near-term revenue visibility. No new product categories or next-gen offerings with specific launch dates. R&amp;D Intensity (0/1): Commodity aluminum smelting with minimal R&amp;D spending relative to revenue; process improvement comes through operational efficiency rather than formal research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Century positions itself around domestic aluminum production for national security and supply-chain resilience — CEO Gary has publicly warned that the US aluminum supply chain is 'so thin a single fire could trigger a nationwide crisis' [3]. The company frames its purpose as 'safely producing low-carbon, highly sustainable aluminum to build America's future,' connecting industrial operations to national resilience. Clear and more than generic, but framed primarily as policy advocacy rather than a transformative vision that inspires beyond the obvious [4]. Community Impact (1/2): CenturyCares program in Mt. Holly, SC supports education, families, and environmental programs. Operates in distressed industrial communities (West Virginia) providing meaningful blue-collar employment with unionized workforce [4]. ISO 9001, 14001, and 45001 certified across locations; ASI certified at Grundartangi and Jamaica facilities. No specific dollar amounts for charitable giving cited. Employee Retention (0/2): Glassdoor rating of 2.5/5.0 is significantly below average, with employees describing 'majorly toxic culture,' 'corrupt IT leadership,' and a 'good ol boy network' [5]. Only ~32% recommend the company. Multiple reviews cite poor communication, ego-driven HR management, and discrimination concerns. Insider Buying (0/2): Net insider selling of $2.4M+ over the last 12 months as executives sold into the stock's multi-year appreciation [6]. No evidence of meaningful open-market purchases by CEO Gary or other officers.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Century's financial profile has strengthened further through Q2 2026 — ROE surged to 51.75% (target 15%) and net profit margin expanded to 22.56% (target 20%), both well above targets and reflecting full operating leverage from tariff protections and elevated LME prices [2][6]. D/E of 47% is conservative (target &lt;=70%), Forward P/E of 3.80 is extraordinarily low (target &lt;=20), and estimated PEG of ~0.30 reflects exceptional value against expected growth [6]. Q2 2026 revenue of $752.1M beat Q1's $649M as restart projects drove shipments to 131,000 tons; full-year consensus revenue of $3.06B implies ~28% YoY growth [2]. The 5yr revenue CAGR of ~13% exceeds the 10% target. Every metric scores at or above target, yielding a maximum infrastructure score. The stock has declined from $67.90 in July to $46.78, compressing valuations further despite improving fundamentals — the market is pricing peak-cycle risk. Liquidity floor: avg daily volume (1,450,000) x $46.78 = $67.8M &gt;&gt; $1M.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Century Aluminum operates with a predominantly finite mindset despite some strategic vision under CEO Jesse Gary. The company's national security framing is genuine but serves as policy advocacy more than a transcendent Just Cause. The severely troubled organizational culture (Glassdoor 2.5/5 with 'toxic' reviews and discrimination allegations) reveals a low-trust environment fundamentally at odds with infinite game principles. Strategic decisions are driven by tariff economics and government incentives rather than purpose-driven long-term thinking, and net insider selling signals management views current valuations as elevated rather than investing in the long-term story.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Century's domestic aluminum production framing connects to national security, but it reads as policy positioning rather than a genuine Just Cause [3]. The company's strategic decisions are driven by tariff economics and government incentives (DOE grants, Section 232 tariffs), not by a vision of a better future that would survive without policy support. CEO Gary's supply chain warnings are genuine but serve advocacy purposes rather than inspiring internal alignment. The purpose does not meet Sinek's criteria for resilience, inclusivity, or idealism.</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2.5/5.0 with culture and values rated well below industry average indicates a low-trust environment [5]. Employee reviews describe a 'majorly toxic culture' with a 'good ol boy network,' 'corrupt IT leadership,' and allegations that women and minorities are 'regularly passed over for promotions.' Only ~32% of employees recommend the company. These are hallmarks of an organization where people protect themselves rather than advance a shared cause. This is one of the lowest Glassdoor ratings in the IOWN screen universe.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Century's competitive framing emphasizes beating Chinese and other imported aluminum through tariff protections rather than learning from or being motivated by worthy rivals like Alcoa, Rio Tinto, or Norsk Hydro [1][3]. Earnings call language focuses on domestic production advantages and policy advocacy rather than competitive self-improvement or acknowledgment of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Repositioning the Hawesville smelter site from aluminum production to AI data center hosting — with 6.8% retained equity — demonstrates willingness to creatively monetize legacy assets [1]. The Oklahoma JV with Emirates Global Aluminium represents partnership-driven expansion in a new geography. The Iceland Grundartangi restart shows operational flexibility. These are meaningful incremental adaptations but remain within the aluminum/industrial domain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the Oklahoma greenfield smelter — the first new US smelter since 1980 — is a multi-year, multi-billion-dollar capital bet that won't generate revenue for years [1]. Selling Hawesville for $287.9M and retaining AI data center equity shows strategic discipline. The Iceland smelter restart was accelerated to July 2026, demonstrating operational conviction [2]. However, both decisions were significantly de-risked by $500M DOE grants, tariff protections, and favorable market conditions rather than leadership sacrificing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Century Aluminum is the largest US primary aluminum producer at what may be the strongest earnings cycle in company history — Q2 2026 delivered adjusted EBITDA of $327M (up $96M sequentially) on 131,000 tons shipped as the Iceland Grundartangi smelter restart lifted output, and full-year consensus projects $3.06B revenue with $9.74 EPS [2]. At a forward P/E of just 3.80x and stock price of $46.78 (down 31% from July's $67.90), the market is aggressively pricing in peak-cycle risk despite improving fundamentals — ROE of 51.75%, profit margin of 22.56%, and D/E of only 47% [6]. US tariff protections on imported aluminum and elevated LME prices provide the earnings foundation, while the Oklahoma greenfield smelter JV (first new US smelter since 1980, $500M DOE grant) offers multi-year capacity growth optionality [1]. The 6.8% retained equity in the Hawesville AI data center redevelopment adds exposure to AI infrastructure growth. The Inspire Impact Score of 36 (ALIGNED) with zero negative attributions supports faith-based consideration.</w:t>
      </w:r>
    </w:p>
    <w:p>
      <w:pPr>
        <w:spacing w:after="120"/>
      </w:pPr>
      <w:r>
        <w:rPr>
          <w:rFonts w:ascii="Calibri" w:hAnsi="Calibri"/>
          <w:b w:val="0"/>
          <w:color w:val="3A4A28"/>
          <w:sz w:val="20"/>
        </w:rPr>
        <w:t>The bear case centers on the cyclical and policy-dependent nature of Century's profitability. The stock's 31% decline from July highs signals the market's view that current earnings are unsustainably elevated — Q1 2026 GAAP net income of $337.5M included $287.9M in one-time Hawesville gains and $33M in insurance proceeds [1]. Without tariff protections, Century's competitive position against lower-cost Chinese, Russian, and Middle Eastern smelters would deteriorate rapidly, as US energy costs exceed international competitors. Energy costs represent 30-40% of smelting costs, and AI data center competition for cheap power may further squeeze margins [3]. The company's severely poor organizational culture (Glassdoor 2.5/5, 'majorly toxic' reviews, discrimination allegations) creates operational risk, employee retention challenges, and potential legal exposure [5]. Net insider selling of $2.4M+ suggests management views current prices as elevated. The Oklahoma smelter faces multi-year execution and capital risk with uncertain final investment timing. Aluminum is a commodity subject to global supply/demand dynamics that no single producer can control, and any global recession would compress both LME prices and demand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Iceland Grundartangi smelter restart fully operational by July 2026, adding meaningful production capacity — Q2 shipments already reached 131,000 tons (+6% sequentially), with full run-rate contribution in H2 2026 driving consensus revenue to $3.06B and EPS of $9.74 [2]</w:t>
      </w:r>
    </w:p>
    <w:p>
      <w:pPr>
        <w:spacing w:before="40" w:after="40"/>
        <w:ind w:left="283"/>
      </w:pPr>
      <w:r>
        <w:rPr>
          <w:rFonts w:ascii="Calibri" w:hAnsi="Calibri"/>
          <w:b/>
          <w:color w:val="4A6B25"/>
          <w:sz w:val="20"/>
        </w:rPr>
        <w:t xml:space="preserve">2. </w:t>
      </w:r>
      <w:r>
        <w:rPr>
          <w:rFonts w:ascii="Calibri" w:hAnsi="Calibri"/>
          <w:b w:val="0"/>
          <w:color w:val="3A4A28"/>
          <w:sz w:val="20"/>
        </w:rPr>
        <w:t>Oklahoma greenfield smelter JV with Emirates Global Aluminium backed by $500M DOE grant — first new US primary aluminum smelter since 1980, positioning Century for transformational domestic capacity expansion over the next decade [1]</w:t>
      </w:r>
    </w:p>
    <w:p>
      <w:pPr>
        <w:spacing w:before="40" w:after="40"/>
        <w:ind w:left="283"/>
      </w:pPr>
      <w:r>
        <w:rPr>
          <w:rFonts w:ascii="Calibri" w:hAnsi="Calibri"/>
          <w:b/>
          <w:color w:val="4A6B25"/>
          <w:sz w:val="20"/>
        </w:rPr>
        <w:t xml:space="preserve">3. </w:t>
      </w:r>
      <w:r>
        <w:rPr>
          <w:rFonts w:ascii="Calibri" w:hAnsi="Calibri"/>
          <w:b w:val="0"/>
          <w:color w:val="3A4A28"/>
          <w:sz w:val="20"/>
        </w:rPr>
        <w:t>Sustained tariff protections and elevated LME aluminum prices driving structural profitability improvement — forward P/E of 3.80x implies significant upside if current earnings prove more durable than the market expects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are heavily dependent on US tariff policy — any reduction or removal of Section 232 aluminum import tariffs would collapse the domestic pricing premium that drives Century's exceptional current profitability, and trade policy shifts are inherently unpredictable [1]</w:t>
      </w:r>
    </w:p>
    <w:p>
      <w:pPr>
        <w:spacing w:before="40" w:after="40"/>
        <w:ind w:left="283"/>
      </w:pPr>
      <w:r>
        <w:rPr>
          <w:rFonts w:ascii="Calibri" w:hAnsi="Calibri"/>
          <w:b/>
          <w:color w:val="4A6B25"/>
          <w:sz w:val="20"/>
        </w:rPr>
        <w:t xml:space="preserve">2. </w:t>
      </w:r>
      <w:r>
        <w:rPr>
          <w:rFonts w:ascii="Calibri" w:hAnsi="Calibri"/>
          <w:b w:val="0"/>
          <w:color w:val="3A4A28"/>
          <w:sz w:val="20"/>
        </w:rPr>
        <w:t>Peak-cycle valuation risk — stock has declined 31% from July highs as the market prices in earnings normalization, with forward P/E of 3.80x potentially reflecting justified skepticism about sustainability of 51.75% ROE and 22.56% profit margins in a cyclical commodity business [6]</w:t>
      </w:r>
    </w:p>
    <w:p>
      <w:pPr>
        <w:spacing w:before="40" w:after="40"/>
        <w:ind w:left="283"/>
      </w:pPr>
      <w:r>
        <w:rPr>
          <w:rFonts w:ascii="Calibri" w:hAnsi="Calibri"/>
          <w:b/>
          <w:color w:val="4A6B25"/>
          <w:sz w:val="20"/>
        </w:rPr>
        <w:t xml:space="preserve">3. </w:t>
      </w:r>
      <w:r>
        <w:rPr>
          <w:rFonts w:ascii="Calibri" w:hAnsi="Calibri"/>
          <w:b w:val="0"/>
          <w:color w:val="3A4A28"/>
          <w:sz w:val="20"/>
        </w:rPr>
        <w:t>Glassdoor rating of 2.5/5.0 with 'majorly toxic culture' allegations, discrimination complaints, and only 32% employee recommendation rate indicates organizational dysfunction that creates operational risk, talent retention challenges, and potential legal exposure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Primary aluminum smelting is a textbook IMMUNE business — physical-world heavy industry that AI structurally cannot displace [1][2]. The Hall-Heroult electrolytic process requires massive energy inputs (~15 MWh per ton), specialized facilities, and industrial infrastructure entirely beyond AI's capabilities. AI is a positive demand driver: data centers consume significant aluminum for cooling systems, racks, and transmission infrastructure. However, AI data centers are competing with smelters for cheap power — 'data centres can pay more than three times as much for power than a smelter would want to pay' — creating an indirect energy cost headwind [3]. No analyst has flagged AI as a substitution risk to Century's business model. The slight deduction from 9 reflects this power competition dynamic. AI Opportunity (1/1): Century retained 6.8% equity in the Hawesville site's redevelopment as an AI data center hub, creating quantifiable AI-linked economic interest from a formerly stranded smelter asset [1]. This is a direct, measurable exposure to AI infrastructure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Century Aluminum Q1 2026 Earnings Release — Hawesville sale ($287.9M gain), Oklahoma greenfield JV, $500M DOE grant — centuryaluminum.com, May 2026</w:t>
      </w:r>
    </w:p>
    <w:p>
      <w:pPr>
        <w:spacing w:before="20" w:after="20"/>
        <w:ind w:left="170"/>
      </w:pPr>
      <w:r>
        <w:rPr>
          <w:rFonts w:ascii="Calibri" w:hAnsi="Calibri"/>
          <w:b/>
          <w:color w:val="4A6B25"/>
          <w:sz w:val="15"/>
        </w:rPr>
        <w:t xml:space="preserve">2. </w:t>
      </w:r>
      <w:r>
        <w:rPr>
          <w:rFonts w:ascii="Calibri" w:hAnsi="Calibri"/>
          <w:b w:val="0"/>
          <w:color w:val="3A4A28"/>
          <w:sz w:val="17"/>
        </w:rPr>
        <w:t>Century Aluminum Q2 2026 Results — Revenue $752.1M, adjusted EBITDA $327M, shipments 131K tons, adjusted EPS $2.46 beating $2.35 consensus — Investing.com, Yahoo Finance, July 2026</w:t>
      </w:r>
    </w:p>
    <w:p>
      <w:pPr>
        <w:spacing w:before="20" w:after="20"/>
        <w:ind w:left="170"/>
      </w:pPr>
      <w:r>
        <w:rPr>
          <w:rFonts w:ascii="Calibri" w:hAnsi="Calibri"/>
          <w:b/>
          <w:color w:val="4A6B25"/>
          <w:sz w:val="15"/>
        </w:rPr>
        <w:t xml:space="preserve">3. </w:t>
      </w:r>
      <w:r>
        <w:rPr>
          <w:rFonts w:ascii="Calibri" w:hAnsi="Calibri"/>
          <w:b w:val="0"/>
          <w:color w:val="3A4A28"/>
          <w:sz w:val="17"/>
        </w:rPr>
        <w:t>Century Aluminum CEO Jesse Gary Interview — National security framing, AI data center power competition, supply chain vulnerability — Fox Business, Benzinga, Yahoo Finance, 2026</w:t>
      </w:r>
    </w:p>
    <w:p>
      <w:pPr>
        <w:spacing w:before="20" w:after="20"/>
        <w:ind w:left="170"/>
      </w:pPr>
      <w:r>
        <w:rPr>
          <w:rFonts w:ascii="Calibri" w:hAnsi="Calibri"/>
          <w:b/>
          <w:color w:val="4A6B25"/>
          <w:sz w:val="15"/>
        </w:rPr>
        <w:t xml:space="preserve">4. </w:t>
      </w:r>
      <w:r>
        <w:rPr>
          <w:rFonts w:ascii="Calibri" w:hAnsi="Calibri"/>
          <w:b w:val="0"/>
          <w:color w:val="3A4A28"/>
          <w:sz w:val="17"/>
        </w:rPr>
        <w:t>Century Aluminum Corporate Responsibility — ISO/ASI certifications, CenturyCares program, sustainability reporting — centuryaluminum.com, MarketScreener, 2025-2026</w:t>
      </w:r>
    </w:p>
    <w:p>
      <w:pPr>
        <w:spacing w:before="20" w:after="20"/>
        <w:ind w:left="170"/>
      </w:pPr>
      <w:r>
        <w:rPr>
          <w:rFonts w:ascii="Calibri" w:hAnsi="Calibri"/>
          <w:b/>
          <w:color w:val="4A6B25"/>
          <w:sz w:val="15"/>
        </w:rPr>
        <w:t xml:space="preserve">5. </w:t>
      </w:r>
      <w:r>
        <w:rPr>
          <w:rFonts w:ascii="Calibri" w:hAnsi="Calibri"/>
          <w:b w:val="0"/>
          <w:color w:val="3A4A28"/>
          <w:sz w:val="17"/>
        </w:rPr>
        <w:t>Glassdoor — Century Aluminum Reviews, 2.5/5.0 rating, ~32% recommendation, toxic culture allegations, discrimination concerns —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GuruFocus, StockAnalysis — CENX Key Statistics: Forward P/E 3.80, PE TTM 8.08, D/E 47%, ROE 51.75%, Profit Margin 22.56%, Stock Price $46.78, Avg Volume 1.45M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