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w:t>
      </w:r>
      <w:r>
        <w:rPr>
          <w:rFonts w:ascii="Calibri" w:hAnsi="Calibri"/>
          <w:b/>
          <w:color w:val="1A2010"/>
          <w:sz w:val="40"/>
        </w:rPr>
        <w:t xml:space="preserve">  Celanese Corporation</w:t>
      </w:r>
    </w:p>
    <w:p>
      <w:pPr>
        <w:spacing w:after="120"/>
      </w:pPr>
      <w:r>
        <w:rPr>
          <w:rFonts w:ascii="Calibri" w:hAnsi="Calibri"/>
          <w:b/>
          <w:color w:val="6E8450"/>
          <w:sz w:val="18"/>
        </w:rPr>
        <w:t>GROWTH SLEEVE · 2026-09-07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Specialty Chemicals · NYSE · United States</w:t>
      </w:r>
    </w:p>
    <w:p>
      <w:pPr>
        <w:spacing w:after="80"/>
      </w:pPr>
      <w:r>
        <w:rPr>
          <w:rFonts w:ascii="Calibri" w:hAnsi="Calibri"/>
          <w:b w:val="0"/>
          <w:color w:val="3A4A28"/>
          <w:sz w:val="20"/>
        </w:rPr>
        <w:t>Celanese Corporation is a global leader in specialty materials and chemical manufacturing, producing engineered polymers, acetyl intermediates, and advanced materials used across automotive, electronics, medical devices, consumer goods, and industrial applications. The company completed the transformative $11B acquisition of DuPont's Mobility &amp; Materials (M&amp;M) business in 2022, significantly expanding its engineered materials portfolio. Q2 2026 revenue of $2.75B (+8.7% YoY) with adjusted EPS of $2.45. The company is aggressively deleveraging from $11.4B net debt, targeting 3x net debt-to-EBITDA. CEO Scott Richardson took over January 2025 after nearly two decades at the company. Market cap ~$4.9B.</w:t>
      </w:r>
    </w:p>
    <w:p>
      <w:r>
        <w:rPr>
          <w:rFonts w:ascii="Calibri" w:hAnsi="Calibri"/>
          <w:b/>
          <w:color w:val="6E8450"/>
          <w:sz w:val="18"/>
        </w:rPr>
        <w:t>11,434 Employees · https://www.celanese.com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Celanese's most significant strategic move in the last 5 years was the $11B acquisition of DuPont's Mobility &amp; Materials business in 2022, which transformed the company's engineered materials portfolio but was a financial acquisition rather than an organic innovation [1]. The integration has been challenging, with profitability still recovering and the company posting negative net income in the TTM period. No organic product launches or market-defining innovations are evident in recent years. AI Deployment (2/2): Celanese is a standout in AI adoption for the chemicals industry — the company leads in agentic AI deployment with practical innovations including AI-powered factory optimization across pilot sites, automated supply chain management, and cross-functional AI squads [2]. Forbes recognized Celanese as leading the pack in agentic AI. The company's implementation plan connected product data feeds and MES/ERP interfaces in two pilot factories in Q4 2025 and expanded to four more sites by mid-2026. Market Share (1/2): Celanese is a meaningful global player in engineered polymers and acetyl intermediates but faces competition from BASF, DuPont, Eastman, and other diversified chemical companies. The DuPont M&amp;M acquisition strengthened market position in engineered materials, but the company does not dominate any single category. Product Pipeline (0/2): No specific next-generation products with named launch dates and revenue visibility were identified. The company's product strategy is focused on extracting $450M in remaining synergies from the M&amp;M acquisition rather than launching new product lines [1]. R&amp;D Intensity (1/1): Celanese invests in R&amp;D at levels appropriate for the specialty chemicals industry, with particular focus on materials science applications for AI-powered manufacturing and sustainable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Celanese's vision — 'Be the first-choice chemistry solution source for our customers' — is generic and interchangeable with virtually any specialty chemicals company [3]. The mission to 'collaborate with customers to develop fresh solutions' is functional but lacks a deeper purpose beyond commercial success. Values include 'improving the world' and 'being sustainable,' but these read as corporate boilerplate rather than a distinctive strategic anchor. Community Impact (1/2): Celanese has formed an ESG Council with Board oversight, committed to SASB Chemical Industry reporting standards, and invested in environmental data systems across 35 manufacturing plants in 19 countries [3]. The company has set Scope 1 and 2 emissions reduction targets and published a Modern Slavery Statement. These are meaningful but standard corporate sustainability practices. Employee Retention (1/2): CEO Scott Richardson has been at Celanese for nearly two decades, reflecting strong internal leadership continuity. The CEO transition from long-tenured Lori Ryerkerk to Richardson was smooth, suggesting organizational stability. However, no specific employee turnover or tenure data is publicly available. Insider Buying (1/2): No evidence of meaningful net insider buying by executives was identified in recent filings. At $44.67 per share (down substantially from prior highs), insider purchasing would be a particularly notable signal that is absent.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Celanese's infrastructure profile is severely bifurcated between attractive valuation metrics and distressed profitability. Forward P/E of 7.67 is well below the 20x target (score 1.0), reflecting the market's deep skepticism about the company's recovery path [1]. PEG ratio of 0.30 is exceptional (score 1.0, 2x weight), and the five-year revenue CAGR of 11.0% exceeds the 10% target (score 1.0, 2x weight), boosted by the DuPont M&amp;M acquisition. Revenue growth YoY of 8.69% is near but below the 10% target (score 0.96). However, the company is under significant financial stress: D/E of 270% against $12.4B in total debt scores only 0.13, ROE of -22.25% scores 0 (2x weight), and profit margin of -12.04% scores 0 [1]. The dividend was slashed 96% from $0.70/quarter to $0.03/quarter in early 2025, eliminating any dividend sleeve qualification. Daily dollar volume of ~$57.6M at $44.67 and 1.29M shares comfortably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Celanese demonstrates a mixed finite/infinite orientation. The company's nearly two-decade institutional leadership (Richardson's tenure) and sustained R&amp;D investment suggest some long-term thinking, but the $11B debt-funded DuPont M&amp;M acquisition, subsequent 96% dividend cut, and intense focus on deleveraging and synergy extraction reflect finite-game financial engineering. The company is currently playing to survive its leverage rather than playing to advance a cause, and the generic mission statement provides no anchor for infinite-minded decision-making.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Celanese's purpose — to be the first-choice chemistry solution source — is shallow and functional. It describes a competitive position, not a vision of a future state worth sacrificing for [3]. The mission doesn't articulate why chemistry matters to the world or what better future Celanese is building. Leadership references 'improving the world' and 'being sustainable' in values statements, but these are additive, not foundational. Strategic decisions (the $11B M&amp;M acquisition, the dividend cut, the synergy extraction program) appear driven by financial optimization rather than a deeper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Celanese benefits from strong internal leadership continuity — CEO Richardson rose through nearly two decades at the company spanning COO, CFO, and business segment leadership before becoming CEO in January 2025 [1]. This suggests a stable internal culture that develops leaders. However, no specific employee retention, tenure, or cultural survey data is publicly available. The company's focus on cost improvements and deleveraging could create organizational pressure that erodes trust, and the dividend cut signals that shareholder returns were sacrificed for corporate survival.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Celanese competes with BASF, DuPont, Eastman, and other diversified chemical companies. Management's language around the M&amp;M acquisition and integration focuses on building capability and serving customers rather than destroying competitors. Richardson's strategy emphasizes pricing power, operational excellence, and customer value creation — self-improvement oriented competitive language rather than market share warfare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$11B DuPont M&amp;M acquisition represented a significant strategic shift for Celanese, moving from a primarily acetyl chemicals company into a major engineered materials player [1]. This was a genuine strategic evolution that meaningfully changed the company's competitive position and product portfolio. However, the acquisition was driven by financial opportunity and scale rather than a purpose-driven reinvention, and the resulting leverage has constrained strategic flexibility rather than expanded it.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Recent strategic decisions reflect survival-mode financial optimization rather than courageous long-term bets. The 96% dividend cut from $0.70/quarter to $0.03/quarter was a necessary response to unsustainable leverage, not a courageous choice to invest in future capability [1]. Management's current priorities — extracting $450M in synergies, targeting $700-800M free cash flow, reducing net debt from $10B to $9B — are focused on financial stabilization rather than building long-term competitive advantage. The company is playing to survive the leverage from its own acquisition strategy, which is the opposite of infinite-game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Celanese at 7.67x forward earnings is a deep value opportunity if the deleveraging thesis plays out — Q2 2026 revenue of $2.75B (+8.7% YoY) with adjusted EPS of $2.45 shows the core business generating real earnings even as GAAP profitability remains negative from acquisition-related charges [1]. Management is targeting $700-800M in 2026 free cash flow and $1B in divestitures by end-2027 to reduce net debt from $10B toward $9B, with a long-term target of 3x net debt-to-EBITDA. The PEG ratio of 0.30 and forward earnings growth forecast of ~23% CAGR suggest the market is pricing in permanent impairment rather than a temporary leverage cycle. Celanese's agentic AI leadership in chemical manufacturing — with 6 factory sites optimized and Forbes recognition — provides a genuine operational edge over chemical industry peers [2]. The company's 35 manufacturing plants across 19 countries and proprietary engineered polymer formulations create real barriers to entry.</w:t>
      </w:r>
    </w:p>
    <w:p>
      <w:pPr>
        <w:spacing w:after="120"/>
      </w:pPr>
      <w:r>
        <w:rPr>
          <w:rFonts w:ascii="Calibri" w:hAnsi="Calibri"/>
          <w:b w:val="0"/>
          <w:color w:val="3A4A28"/>
          <w:sz w:val="20"/>
        </w:rPr>
        <w:t>The bear case is dominant and immediate. D/E of 270% with $12.4B in total debt against only $4.9B market cap means equity holders are a thin layer above a massive debt stack — any deterioration in operating performance could wipe out equity value [1]. GAAP profitability is negative (ROE -22.25%, profit margin -12.04%), and the 96% dividend cut from $0.70 to $0.03/quarter destroyed income investor confidence. Revenue growth of 8.69% YoY is recovering but insufficient to deleverage quickly, and the 3-year forward revenue growth forecast of only 2.63% suggests the market expects near-stagnation. The specialty chemicals sector faces macro headwinds from weak automotive and construction demand globally. Multiple analyst downgrades have cited the company's ability to manage its debt as the primary concern [1]. The enterprise value of $15.94B against $4.9B market cap highlights the leverage risk — debt holders, not equity holders, own most of the company's value. The Inspire Impact Score of -49 (MISALIGNED) may further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Free cash flow generation of $700-800M in 2026 and $1B in planned divestitures by end-2027 could accelerate deleveraging, potentially re-rating the stock if net debt-to-EBITDA approaches the 3x target [1]</w:t>
      </w:r>
    </w:p>
    <w:p>
      <w:pPr>
        <w:spacing w:before="40" w:after="40"/>
        <w:ind w:left="283"/>
      </w:pPr>
      <w:r>
        <w:rPr>
          <w:rFonts w:ascii="Calibri" w:hAnsi="Calibri"/>
          <w:b/>
          <w:color w:val="4A6B25"/>
          <w:sz w:val="20"/>
        </w:rPr>
        <w:t xml:space="preserve">2. </w:t>
      </w:r>
      <w:r>
        <w:rPr>
          <w:rFonts w:ascii="Calibri" w:hAnsi="Calibri"/>
          <w:b w:val="0"/>
          <w:color w:val="3A4A28"/>
          <w:sz w:val="20"/>
        </w:rPr>
        <w:t>Remaining $450M in DuPont M&amp;M acquisition synergies yet to be extracted could drive margin expansion and return the company to GAAP profitability as integration matures [1]</w:t>
      </w:r>
    </w:p>
    <w:p>
      <w:pPr>
        <w:spacing w:before="40" w:after="40"/>
        <w:ind w:left="283"/>
      </w:pPr>
      <w:r>
        <w:rPr>
          <w:rFonts w:ascii="Calibri" w:hAnsi="Calibri"/>
          <w:b/>
          <w:color w:val="4A6B25"/>
          <w:sz w:val="20"/>
        </w:rPr>
        <w:t xml:space="preserve">3. </w:t>
      </w:r>
      <w:r>
        <w:rPr>
          <w:rFonts w:ascii="Calibri" w:hAnsi="Calibri"/>
          <w:b w:val="0"/>
          <w:color w:val="3A4A28"/>
          <w:sz w:val="20"/>
        </w:rPr>
        <w:t>Agentic AI deployment across 6+ factory sites providing measurable operational efficiency gains that differentiate Celanese from chemical industry peers and could expand margins beyond synergy targets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270% with $12.4B total debt against $4.9B market cap creates existential leverage risk — any material downturn in engineered materials or acetyl demand could impair the company's ability to service debt [1]</w:t>
      </w:r>
    </w:p>
    <w:p>
      <w:pPr>
        <w:spacing w:before="40" w:after="40"/>
        <w:ind w:left="283"/>
      </w:pPr>
      <w:r>
        <w:rPr>
          <w:rFonts w:ascii="Calibri" w:hAnsi="Calibri"/>
          <w:b/>
          <w:color w:val="4A6B25"/>
          <w:sz w:val="20"/>
        </w:rPr>
        <w:t xml:space="preserve">2. </w:t>
      </w:r>
      <w:r>
        <w:rPr>
          <w:rFonts w:ascii="Calibri" w:hAnsi="Calibri"/>
          <w:b w:val="0"/>
          <w:color w:val="3A4A28"/>
          <w:sz w:val="20"/>
        </w:rPr>
        <w:t>Negative GAAP profitability (ROE -22.25%, profit margin -12.04%) with 96% dividend cut signals the company is in financial distress, and forward revenue growth of only 2.63% CAGR suggests limited organic growth to drive recovery [1]</w:t>
      </w:r>
    </w:p>
    <w:p>
      <w:pPr>
        <w:spacing w:before="40" w:after="40"/>
        <w:ind w:left="283"/>
      </w:pPr>
      <w:r>
        <w:rPr>
          <w:rFonts w:ascii="Calibri" w:hAnsi="Calibri"/>
          <w:b/>
          <w:color w:val="4A6B25"/>
          <w:sz w:val="20"/>
        </w:rPr>
        <w:t xml:space="preserve">3. </w:t>
      </w:r>
      <w:r>
        <w:rPr>
          <w:rFonts w:ascii="Calibri" w:hAnsi="Calibri"/>
          <w:b w:val="0"/>
          <w:color w:val="3A4A28"/>
          <w:sz w:val="20"/>
        </w:rPr>
        <w:t>Automotive and construction end-market weakness globally pressures demand for Celanese's engineered polymers, with volume recovery uncertain as Chinese manufacturing competition intensifies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Celanese's core business — manufacturing specialty chemicals, engineered polymers, and acetyl intermediates — involves physical-world chemical processes, capital-intensive manufacturing plants, and regulatory requirements that AI cannot structurally displace [1]. Chemical manufacturing requires physical infrastructure, proprietary formulations, and decades of process engineering knowledge. However, AI is transforming chemical R&amp;D by accelerating materials discovery and process optimization, which could benefit Celanese but also lower barriers for competitors. The automotive and electronics end markets that consume Celanese's engineered materials face their own AI-driven disruption cycles that could shift demand patterns. AI Opportunity (1/1): Celanese generates measurable operational value from AI — the company was recognized by Forbes as leading in agentic AI deployment, with AI-powered factory optimization across 6 sites, automated supply chain management, and cross-functional AI squads generating quantifiable efficiency gains [2]. This is genuine AI revenue contribution through cost savings and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Celanese Q2 2026 Earnings — Revenue $2.75B (+8.7% YoY), Adjusted EPS $2.45, FCF Target $700-800M, Net Debt Reduction to $9B, $1B Divestitures by End-2027, StockTitan /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Celanese AI Leadership — Forbes Recognition for Agentic AI, 6 Factory Sites Optimized, Cross-Functional AI Squads, Supply Chain Automation, Forbes / GetTransport, February 2025-2026</w:t>
      </w:r>
    </w:p>
    <w:p>
      <w:pPr>
        <w:spacing w:before="20" w:after="20"/>
        <w:ind w:left="170"/>
      </w:pPr>
      <w:r>
        <w:rPr>
          <w:rFonts w:ascii="Calibri" w:hAnsi="Calibri"/>
          <w:b/>
          <w:color w:val="4A6B25"/>
          <w:sz w:val="15"/>
        </w:rPr>
        <w:t xml:space="preserve">3. </w:t>
      </w:r>
      <w:r>
        <w:rPr>
          <w:rFonts w:ascii="Calibri" w:hAnsi="Calibri"/>
          <w:b w:val="0"/>
          <w:color w:val="3A4A28"/>
          <w:sz w:val="17"/>
        </w:rPr>
        <w:t>Celanese ESG and Corporate — ESG Council with Board Oversight, SASB Reporting, 35 Plants in 19 Countries, Sustainalytics Moderate Controversy Level, Comparably Mission/Values,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