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CFFN</w:t>
      </w:r>
      <w:r>
        <w:rPr>
          <w:rFonts w:ascii="Calibri" w:hAnsi="Calibri"/>
          <w:b/>
          <w:color w:val="1A2010"/>
          <w:sz w:val="40"/>
        </w:rPr>
        <w:t xml:space="preserve">  Capitol Federal Financial, Inc.</w:t>
      </w:r>
    </w:p>
    <w:p>
      <w:pPr>
        <w:spacing w:after="120"/>
      </w:pPr>
      <w:r>
        <w:rPr>
          <w:rFonts w:ascii="Calibri" w:hAnsi="Calibri"/>
          <w:b/>
          <w:color w:val="6E8450"/>
          <w:sz w:val="18"/>
        </w:rPr>
        <w:t>DIVIDEND SLEEVE · 2026-09-30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Capitol Federal Financial, Inc. is the holding company for Capitol Federal Savings Bank, a community-oriented savings bank headquartered in Topeka, Kansas. The bank operates approximately 46 banking offices throughout Kansas and Missouri, offering deposit products, one-to-four family residential loans, commercial real estate loans, and related financial services. Founded in 1893, it has total assets of approximately $9.7B. Q3 FY2026 net income was $23.57M with NIM at 2.31% (eight consecutive quarters of improvement). Commercial loans grew to $2.5B, representing 30% of total loans.</w:t>
      </w:r>
    </w:p>
    <w:p>
      <w:r>
        <w:rPr>
          <w:rFonts w:ascii="Calibri" w:hAnsi="Calibri"/>
          <w:b/>
          <w:color w:val="6E8450"/>
          <w:sz w:val="18"/>
        </w:rPr>
        <w:t>604 Employees · https://capfed.com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Capitol Federal has executed a meaningful strategic shift from a pure residential thrift to a diversified lender, growing commercial loans to $2.5B (30% of total portfolio) with strong annualized growth rates [1]. This is a significant business model evolution for a 133-year-old savings bank, though it remains incremental rather than transformative — the bank is still fundamentally a community thrift. AI Deployment (0/2): No evidence of AI-powered products or quantified AI-driven efficiency gains. The bank operates standard community banking technology infrastructure with no reported AI strategy or deployment [2]. Market Share (0/2): Capitol Federal is a regional community bank with ~$9.7B in assets, a minor player in the Kansas/Missouri banking market with no share leadership or competitive differentiation cited [1]. Product Pipeline (0/2): No next-generation products announced with specific timelines. The bank projects steady incremental commercial loan growth but no transformative offerings [1]. R&amp;D Intensity (0/1): No R&amp;D spending reported; technology investment is at levels typical for community banks of this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Capitol Federal's stated values — Quality Customer Service, Financial Stability, and Commitment to Community — are generic banking platitudes interchangeable with any community bank in America [2]. The 'True Blue' branding emphasizes reliability and longevity but does not articulate a distinctive purpose beyond standard banking operations. The culture is described as 'rooted in trust, collaboration and belonging,' which is aspirational but generic. Community Impact (1/2): The bank cites charitable contributions, volunteerism, and community sponsorships as core values, and as a 133-year community institution it plays a meaningful local role, but no specific dollar amounts, foundation details, or distinctive programs were identified in public materials [3]. Employee Retention (0/2): Glassdoor culture rating of 2.9/5 places Capitol Federal 18% below financial services peers, with only 46% of employees recommending the company to a friend [2]. Culture ratings declined 5% over the past 12 months. These are concerning metrics that suggest below-average employee satisfaction despite CEO John Dicus's 23-year leadership tenure. Insider Buying (1/2): Executive VP Anthony Barry purchased $69,892 worth of CFFN shares in December 2025, demonstrating some insider conviction, though limited to one executive with a modest dollar amount [1]. Aggressive share buybacks — the company has repurchased millions of shares in FY2026 — signal management confidence in the stock.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Capitol Federal delivered Q3 FY2026 net income of $23.57M with net interest margin expanding to 2.31% — eight consecutive quarters of NIM improvement and 100+ bps of expansion since fiscal 2023 [1]. Revenue growth YoY of 18.3% exceeds the 10% target, driven by NIM expansion and commercial loan growth. Profit margin of 36.70% well exceeds the 20% target, reflecting the bank's efficient cost structure with improving efficiency ratio [4]. Forward P/E of 10.80 is well below the 20x target. ROE of 8.01% remains below the 15% target due to the bank's conservative equity-to-assets ratio typical of thrift institutions. Payout ratio of 52.31% is modestly above the 40% target. The regular dividend of $0.085/quarter has been frozen since 2014 — zero consecutive years of growth and near-zero 5yr dividend growth CAGR, which creates significant scoring drag in the dividend metrics [4]. Consecutive years paid of 28 scores full marks with 2x weight, partially offsetting. Liquidity: 862K avg daily volume × $8.37 = $7.2M daily,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Capitol Federal's 133-year operating history demonstrates durability, but the company plays a fundamentally finite game — optimizing for steady dividends, share buybacks, and net interest margin expansion rather than pursuing a transformative purpose. CEO John Dicus has provided stable leadership since 2003, and the commercial lending pivot shows strategic evolution, but Glassdoor metrics (2.9/5 culture, 46% recommend) reveal a below-average workplace, and the organization lacks a Just Cause that would qualify as infinite game thinking in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Capitol Federal's values — customer service, financial stability, community commitment — are standard banking platitudes that could describe any of 4,000+ community banks in America [2]. The 'True Blue' branding emphasizes reliability and longevity but does not articulate a vision of a better future or a purpose beyond banking operations. While 133 years of continuous operation is impressive, longevity alone is not a Just Cause — it demonstrates persistence, not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 rating of 2.9/5 places Capitol Federal 18% below financial services peers, with only 46% of employees recommending the company to a friend — well below the threshold for adequate organizational trust [2]. The culture rating has declined 5% over the past 12 months, suggesting deterioration rather than improvement. While CEO John Dicus's 23-year tenure provides leadership stability, the employee satisfaction data indicates the stable leadership has not translated into a high-trust working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Capitol Federal's public communications focus on operational metrics (NIM, efficiency ratio, loan growth) rather than learning from competitors or improving through competitive dynamics [1]. The bank operates in a finite competitive frame — protecting market share in Kansas/Missouri rather than using rivals' strengths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Capitol Federal has evolved from a pure residential savings institution to a diversified community bank with significant commercial lending capabilities, growing commercial loans to 30% of the portfolio [1]. The bank has also improved its funding structure by reducing FHLB borrowings while growing deposits. These represent genuine business model evolution, though incremental rather than transformative — the bank remains fundamentally a Kansas/Missouri community thrift.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strategic decision to diversify from a pure residential thrift into commercial lending — growing the commercial portfolio to $2.5B (30% of loans) from a much smaller base — represents a meaningful departure from the bank's century-old model [1]. Management also executed aggressive share buybacks while maintaining conservative credit standards. However, these are incremental operational improvements rather than courageous bets that sacrifice near-term results for transformative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Capitol Federal Financial is executing a disciplined turnaround from the interest rate compression that hammered thrift banks in 2022-2024. Net interest margin expanded to 2.31% in Q3 FY2026 — eight consecutive quarters of improvement and 100+ bps of expansion since fiscal 2023 — driving 30% YoY net income growth to $64M for the nine-month period [1]. The strategic diversification into commercial lending ($2.5B, 30% of portfolio) reduces reliance on residential mortgages and improves portfolio yield. At 10.80x forward earnings with a 4.06% dividend yield and aggressive buybacks, the stock offers value for income investors willing to accept the risks of a regional thrift [4]. The Inspire score of 37 (ALIGNED) is favorable for faith-based investors.</w:t>
      </w:r>
    </w:p>
    <w:p>
      <w:pPr>
        <w:spacing w:after="120"/>
      </w:pPr>
      <w:r>
        <w:rPr>
          <w:rFonts w:ascii="Calibri" w:hAnsi="Calibri"/>
          <w:b w:val="0"/>
          <w:color w:val="3A4A28"/>
          <w:sz w:val="20"/>
        </w:rPr>
        <w:t>The bear case centers on Capitol Federal's structural limitations as a community savings bank. ROE of 8.01% is well below the 15% target and reflects the inherently low-return nature of thrift banking [4]. Regular dividends have been frozen at $0.085/quarter since 2014 — 12 years without a raise — signaling management's reluctance to commit to a growing payout despite improving earnings. The 5yr dividend growth CAGR of 0.3% provides essentially no income growth. Glassdoor metrics are concerning: 2.9/5 culture rating (18% below peers), only 46% of employees recommend the company, and the culture score is declining 5% YoY [2]. Innovation is minimal — no AI strategy, no technology differentiation, and no next-gen products. If interest rates decline, NIM compression would quickly reverse recent earnings gains, and the commercial lending pivot introduces credit risk the bank has less historical experience managing. PEG ratio of 4.09 suggests the current growth rate is already fully priced relative to the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net interest margin expansion as higher-yielding commercial loans replace lower-yielding residential mortgages, with NIM potentially reaching 2.40%+ by FY2027 if rate environment remains supportive [1]</w:t>
      </w:r>
    </w:p>
    <w:p>
      <w:pPr>
        <w:spacing w:before="40" w:after="40"/>
        <w:ind w:left="283"/>
      </w:pPr>
      <w:r>
        <w:rPr>
          <w:rFonts w:ascii="Calibri" w:hAnsi="Calibri"/>
          <w:b/>
          <w:color w:val="4A6B25"/>
          <w:sz w:val="20"/>
        </w:rPr>
        <w:t xml:space="preserve">2. </w:t>
      </w:r>
      <w:r>
        <w:rPr>
          <w:rFonts w:ascii="Calibri" w:hAnsi="Calibri"/>
          <w:b w:val="0"/>
          <w:color w:val="3A4A28"/>
          <w:sz w:val="20"/>
        </w:rPr>
        <w:t>Commercial loan portfolio growth toward 35%+ of total loans, diversifying revenue away from the residential thrift model and improving overall portfolio yield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 after 12 years frozen at $0.085/quarter — current 52% payout ratio and improving earnings leave room for a raise that could re-rate the stock for income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decline would compress NIM and reverse the cyclical earnings recovery — the bank's asset-sensitive balance sheet amplifies rate sensitivity, and the 100+ bps NIM expansion since FY2023 is largely rate-driven rather than structural [1]</w:t>
      </w:r>
    </w:p>
    <w:p>
      <w:pPr>
        <w:spacing w:before="40" w:after="40"/>
        <w:ind w:left="283"/>
      </w:pPr>
      <w:r>
        <w:rPr>
          <w:rFonts w:ascii="Calibri" w:hAnsi="Calibri"/>
          <w:b/>
          <w:color w:val="4A6B25"/>
          <w:sz w:val="20"/>
        </w:rPr>
        <w:t xml:space="preserve">2. </w:t>
      </w:r>
      <w:r>
        <w:rPr>
          <w:rFonts w:ascii="Calibri" w:hAnsi="Calibri"/>
          <w:b w:val="0"/>
          <w:color w:val="3A4A28"/>
          <w:sz w:val="20"/>
        </w:rPr>
        <w:t>Glassdoor culture rating of 2.9/5 (18% below peers) with only 46% of employees recommending the company signals organizational challenges that could impair talent retention and operational execution [2]</w:t>
      </w:r>
    </w:p>
    <w:p>
      <w:pPr>
        <w:spacing w:before="40" w:after="40"/>
        <w:ind w:left="283"/>
      </w:pPr>
      <w:r>
        <w:rPr>
          <w:rFonts w:ascii="Calibri" w:hAnsi="Calibri"/>
          <w:b/>
          <w:color w:val="4A6B25"/>
          <w:sz w:val="20"/>
        </w:rPr>
        <w:t xml:space="preserve">3. </w:t>
      </w:r>
      <w:r>
        <w:rPr>
          <w:rFonts w:ascii="Calibri" w:hAnsi="Calibri"/>
          <w:b w:val="0"/>
          <w:color w:val="3A4A28"/>
          <w:sz w:val="20"/>
        </w:rPr>
        <w:t>Zero dividend growth for 12 consecutive years despite 28-year payment streak suggests management prioritizes capital preservation over income growth, frustrating the primary investor base attracted by the 4.06% yield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Capitol Federal's core community banking business has meaningful defensive moats against AI disruption. Residential and commercial loan origination relies on local market knowledge, relationship-based credit assessment, and regulatory compliance that AI cannot easily replicate [1]. Physical branch operations across Kansas and Missouri, FDIC-regulated deposit-taking, and the trust-based community banking model create structural barriers to AI substitution. However, back-office functions (loan processing, underwriting, compliance monitoring) are increasingly automatable, and digital-first banks and fintech lenders could use AI to compete for the bank's residential mortgage customers without physical branch presence. AI Opportunity (0/1): No evidence of AI-related revenue or AI-powered products. The bank operates standard community banking technology with no reported AI strategy or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Capitol Federal Financial Q3 FY2026 Earnings — Net income $23.57M, NIM 2.31%, commercial loans $2.5B (30% of portfolio), 9-month net income $64M (+30% YoY) — TradingView, Kalkinemedia, SEC 8-K, July 2026</w:t>
      </w:r>
    </w:p>
    <w:p>
      <w:pPr>
        <w:spacing w:before="20" w:after="20"/>
        <w:ind w:left="170"/>
      </w:pPr>
      <w:r>
        <w:rPr>
          <w:rFonts w:ascii="Calibri" w:hAnsi="Calibri"/>
          <w:b/>
          <w:color w:val="4A6B25"/>
          <w:sz w:val="15"/>
        </w:rPr>
        <w:t xml:space="preserve">2. </w:t>
      </w:r>
      <w:r>
        <w:rPr>
          <w:rFonts w:ascii="Calibri" w:hAnsi="Calibri"/>
          <w:b w:val="0"/>
          <w:color w:val="3A4A28"/>
          <w:sz w:val="17"/>
        </w:rPr>
        <w:t>Capitol Federal Savings Bank Culture and Leadership — Glassdoor 2.9/5 culture (18% below peers), 46% recommend, CEO John Dicus since 2003, 'True Blue' values, Careers page — Glassdoor, CapFed.com, September 2026</w:t>
      </w:r>
    </w:p>
    <w:p>
      <w:pPr>
        <w:spacing w:before="20" w:after="20"/>
        <w:ind w:left="170"/>
      </w:pPr>
      <w:r>
        <w:rPr>
          <w:rFonts w:ascii="Calibri" w:hAnsi="Calibri"/>
          <w:b/>
          <w:color w:val="4A6B25"/>
          <w:sz w:val="15"/>
        </w:rPr>
        <w:t xml:space="preserve">3. </w:t>
      </w:r>
      <w:r>
        <w:rPr>
          <w:rFonts w:ascii="Calibri" w:hAnsi="Calibri"/>
          <w:b w:val="0"/>
          <w:color w:val="3A4A28"/>
          <w:sz w:val="17"/>
        </w:rPr>
        <w:t>Capitol Federal ESG and Community — No specific controversies found, Kansas anti-ESG legislation context, community banking role — Kansas Reflector,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CFFN Key Statistics: Forward P/E 10.80x, ROE 8.01%, Profit Margin 36.70%, Dividend Yield 4.06%, Payout Ratio 52.31%, PEG 4.09, Stock Price $8.37,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