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w:t>
      </w:r>
      <w:r>
        <w:rPr>
          <w:rFonts w:ascii="Calibri" w:hAnsi="Calibri"/>
          <w:b/>
          <w:color w:val="1A2010"/>
          <w:sz w:val="40"/>
        </w:rPr>
        <w:t xml:space="preserve">  The Carlyle Group Inc.</w:t>
      </w:r>
    </w:p>
    <w:p>
      <w:pPr>
        <w:spacing w:after="120"/>
      </w:pPr>
      <w:r>
        <w:rPr>
          <w:rFonts w:ascii="Calibri" w:hAnsi="Calibri"/>
          <w:b/>
          <w:color w:val="6E8450"/>
          <w:sz w:val="18"/>
        </w:rPr>
        <w:t>DIVIDEND SLEEVE · 2026-09-03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The Carlyle Group Inc. is a global alternative asset manager with $485 billion in total AUM across three segments: Global Private Equity, Global Credit, and Global Investment Solutions (AlpInvest). CEO Harvey Schwartz (since 2023, formerly Goldman Sachs COO) is executing a diversification strategy emphasizing credit and insurance. Q2 2026 delivered record Fee Related Earnings of $358M (+11% YoY), Distributable Earnings of $472M (highest in ~4 years), total revenue of $1.12B (+14% YoY), and distributed ~$7B to investors. AlpInvest reached record $107B AUM (+20% YoY).</w:t>
      </w:r>
    </w:p>
    <w:p>
      <w:r>
        <w:rPr>
          <w:rFonts w:ascii="Calibri" w:hAnsi="Calibri"/>
          <w:b/>
          <w:color w:val="6E8450"/>
          <w:sz w:val="18"/>
        </w:rPr>
        <w:t>2,200 Employees · https://www.carlyle.com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Carlyle has grown AUM from ~$375B (2021) to $485B (Q2 2026), with AlpInvest reaching a record $107B (+20% YoY) and Global Credit exceeding $211B [1]. This represents strong organic fundraising and strategic diversification toward credit and insurance, but is incremental evolution of the same business model rather than a transformative pivot. AI Deployment (1/2): Carlyle's COO highlighted 'first-mover advantage around AI adoption' firmwide and across the portfolio, shifting from 'where can AI make us faster' to 'which workflows can be transformed' [2]. The firm supports portfolio companies in identifying high-impact AI use cases. However, no specific dollar amounts of AI-driven savings or revenue were quantified. Market Share (1/2): Carlyle is a top-5 global alternative asset manager with $485B AUM, behind Blackstone (~$1.1T+), Apollo, and KKR [1]. Meaningful player with strong positions in PE, credit, and solutions. Product Pipeline (1/2): AlpInvest's 20% AUM growth and expanding credit and insurance solution strategies provide clear fundraising visibility, with $96B+ in available capital for deployment [1]. R&amp;D Intensity (0/1): Asset management has minimal traditional R&amp;D spend; innovation centers on fund structuring, AI integration, and distribution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Carlyle's purpose centers on generating attractive returns for investors through responsible private capital deployment — a functional asset management mission that is interchangeable with any PE firm [2]. There is no articulated vision of a future state beyond financial performance. Community Impact (0/2): No specific philanthropic programs with quantified dollar amounts were identified. Carlyle publishes ESG and sustainability reports but impact investing remains secondary to financial returns [3]. Employee Retention (1/2): The carried interest structure inherently promotes retention by creating long-term financial alignment. Harvey Schwartz has brought a 'collaborative, performance-oriented culture' since arriving in 2023 [2]. However, the firm has experienced some senior departures in recent years, and no specific tenure or turnover data is available. Insider Buying (0/2): Founder stakes provide meaningful alignment, but no evidence of recent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Forward P/E of 12.25x scores at maximum, reflecting a discounted multiple for an alternative asset manager with accelerating earnings [4]. ROE of 21.37% exceeds the 15% target, driven by record Fee Related Earnings of $358M and highest Distributable Earnings ($472M) in nearly four years [1]. Profit margin of 22.74% exceeds the 20% target, a dramatic improvement from 6.2% a year ago as performance fees normalized [4]. Q2 revenue grew 14% YoY to $1.12B. The primary drag is D/E of 263%, well above the 70% target, reflecting fund-level borrowing typical of alternative asset managers but scoring only 0.16 [4]. Trailing GAAP payout ratio exceeds 100% (GAAP EPS is depressed by mark-to-market adjustments) though DE-based payout is ~33%. Consecutive years paid (12) scores at maximum, while years of consecutive growth (2) and 5yr dividend growth CAGR (~5%) score modestly. The stock clears liquidity with ~$162M daily trading volume (~2.5M shares x $65).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Carlyle operates with a mixed infinite/finite orientation. The firm's multi-decade fund structures and carry mechanics inherently encourage long-term thinking, and the strategic evolution from pure PE to a diversified $485B platform shows adaptability. However, quarterly earnings pressure, competitive AUM dynamics, and the fundamental purpose of generating financial returns place limits on infinite game thinking. Harvey Schwartz's externally-hired CEO leadership brings fresh strategic vision but hasn't yet been tested through crisis.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Carlyle articulates its purpose around generating returns through responsible capital deployment and creating value in portfolio companies — functional and legitimate, but interchangeable with any alternative asset manager [2]. The firm's ESG commitments and Net Zero goals add dimension, but ESG is explicitly described as 'voluntary' and 'not binding on investment decisions,' limiting its credibility as a cause [3]. Sinek would note that Carlyle exists primarily to generate fees and returns, not to advance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Carlyle's partnership structure and carried interest alignment create financial incentives for collaboration and long-term commitment. Harvey Schwartz has emphasized building a 'collaborative, performance-oriented culture' [2]. However, some senior departures in recent years and the disruption of hiring an external CEO suggest ongoing cultural evolution. No specific employee satisfaction or tenure data is available to distinguish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Carlyle's competitive dynamics with Blackstone, KKR, and Apollo reflect a constructive rivalry. The firm's pivot toward credit and insurance solutions was partly inspired by Apollo's success in these areas, demonstrating willingness to learn from competitors' strengths [1]. Management frames competition as motivation to expand capabilities and improve investor outcomes rather than as a zero-sum market share war.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Carlyle has evolved from a pure private equity firm into a diversified alternative asset manager with $485B across PE, credit ($211B+), real assets, and investment solutions (AlpInvest $107B) [1]. The credit expansion and insurance solutions initiatives represent meaningful strategic diversification that has changed the firm's revenue composition. However, the evolution has been incremental — all moves stay within alternative asset management rather than representing a truly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Hiring Harvey Schwartz externally from Goldman Sachs (2023) as CEO was a bold leadership decision that disrupted the traditional partnership promotion path [2]. The firm has invested in credit and insurance solutions strategies that required patient capital and organizational change. Q2 2026 record results ($358M FRE, $472M DE) validate the strategic direction [1]. However, Carlyle has generally followed industry trends (credit, insurance) rather than setting them, arriving after Blackstone and Apollo established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Carlyle at 12.25x forward earnings with a 2.13% yield offers discounted exposure to a diversified $485B alternative asset platform delivering record results — Q2 2026 Fee Related Earnings of $358M (+11% YoY), Distributable Earnings of $472M (highest in ~4 years), and $37B distributed to investors over the trailing year [1]. ROE has inflected to 21.37% and profit margin to 22.74%, validating CEO Harvey Schwartz's strategic execution since taking the helm in 2023 [4]. The credit platform ($211B+ AUM), AlpInvest ($107B, +20% YoY), and $96B+ in dry powder position Carlyle for continued AUM growth toward the $500B+ target. The forward PE of 12.25x trades at a meaningful discount to Blackstone and KKR despite closing the performance gap.</w:t>
      </w:r>
    </w:p>
    <w:p>
      <w:pPr>
        <w:spacing w:after="120"/>
      </w:pPr>
      <w:r>
        <w:rPr>
          <w:rFonts w:ascii="Calibri" w:hAnsi="Calibri"/>
          <w:b w:val="0"/>
          <w:color w:val="3A4A28"/>
          <w:sz w:val="20"/>
        </w:rPr>
        <w:t>The bear case centers on the inherent volatility and structural challenges of alternative asset management. D/E of 263% is extremely elevated, reflecting fund-level leverage that amplifies downside in a credit cycle turn [4]. GAAP earnings are unreliable — trailing PE of 51.63x vs forward PE of 12.25x highlights the extreme lumpiness of performance fee recognition and carry realizations. FY2025 revenue declined 15% to $4.03B, demonstrating that Q2 2026 record results may not be sustainable across market cycles. Carlyle has historically lagged peers in permanent capital vehicles and insurance solutions, arriving after Blackstone and Apollo established dominant positions. The -69 Inspire Impact Score (MISALIGNED) may limit allocation for faith-based investors [3]. Consecutive dividend growth of only 2 years (following a prior cut) raises questions about payout sustainability if realizations slow.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AUM growth toward the $500B+ target, with AlpInvest's 20% YoY momentum ($107B) and Global Credit ($211B+) driving fee-related earnings expansion [1]</w:t>
      </w:r>
    </w:p>
    <w:p>
      <w:pPr>
        <w:spacing w:before="40" w:after="40"/>
        <w:ind w:left="283"/>
      </w:pPr>
      <w:r>
        <w:rPr>
          <w:rFonts w:ascii="Calibri" w:hAnsi="Calibri"/>
          <w:b/>
          <w:color w:val="4A6B25"/>
          <w:sz w:val="20"/>
        </w:rPr>
        <w:t xml:space="preserve">2. </w:t>
      </w:r>
      <w:r>
        <w:rPr>
          <w:rFonts w:ascii="Calibri" w:hAnsi="Calibri"/>
          <w:b w:val="0"/>
          <w:color w:val="3A4A28"/>
          <w:sz w:val="20"/>
        </w:rPr>
        <w:t>Acceleration in realization activity — $37B distributed over the trailing year and $96B+ in dry powder suggest a robust deployment-to-exit cycle that should sustain elevated distributable earnings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as Carlyle's 12.25x forward PE closes the discount to peers (Blackstone ~20x+, KKR ~15x+), driven by record FRE and the strategic pivot toward higher-quality recurring fee streams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263% and fund-level leverage amplify downside in a credit cycle downturn — a significant credit event could impair portfolio company valuations, slow fundraising, and reduce carried interest realizations simultaneously [4]</w:t>
      </w:r>
    </w:p>
    <w:p>
      <w:pPr>
        <w:spacing w:before="40" w:after="40"/>
        <w:ind w:left="283"/>
      </w:pPr>
      <w:r>
        <w:rPr>
          <w:rFonts w:ascii="Calibri" w:hAnsi="Calibri"/>
          <w:b/>
          <w:color w:val="4A6B25"/>
          <w:sz w:val="20"/>
        </w:rPr>
        <w:t xml:space="preserve">2. </w:t>
      </w:r>
      <w:r>
        <w:rPr>
          <w:rFonts w:ascii="Calibri" w:hAnsi="Calibri"/>
          <w:b w:val="0"/>
          <w:color w:val="3A4A28"/>
          <w:sz w:val="20"/>
        </w:rPr>
        <w:t>GAAP earnings volatility — FY2025 revenue declined 15% to $4.03B and trailing PE is 51.63x, demonstrating that Q2 2026 record results may reverse as performance fee recognition is inherently lumpy [4]</w:t>
      </w:r>
    </w:p>
    <w:p>
      <w:pPr>
        <w:spacing w:before="40" w:after="40"/>
        <w:ind w:left="283"/>
      </w:pPr>
      <w:r>
        <w:rPr>
          <w:rFonts w:ascii="Calibri" w:hAnsi="Calibri"/>
          <w:b/>
          <w:color w:val="4A6B25"/>
          <w:sz w:val="20"/>
        </w:rPr>
        <w:t xml:space="preserve">3. </w:t>
      </w:r>
      <w:r>
        <w:rPr>
          <w:rFonts w:ascii="Calibri" w:hAnsi="Calibri"/>
          <w:b w:val="0"/>
          <w:color w:val="3A4A28"/>
          <w:sz w:val="20"/>
        </w:rPr>
        <w:t>Structural competitive disadvantage vs Blackstone and Apollo in permanent capital vehicles and insurance solutions, where late entry means Carlyle must compete for allocations against established scaled platforms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Carlyle's core business — relationship-driven fundraising from institutional LPs, proprietary deal sourcing, complex transaction structuring, and hands-on portfolio company management — involves human judgment, relationship capital, and brand trust that AI cannot easily replicate [1][2]. Illiquid private markets provide natural moats against algorithmic disruption that threatens liquid/quantitative strategies. However, some back-office functions (reporting, compliance), quantitative analysis, and liquid credit strategies face AI-driven automation and fee compression from AI-enhanced competitors. The expanding credit segment ($211B+ AUM) has higher exposure to AI-driven lending platforms than traditional PE. AI Opportunity (1/1): Carlyle's COO highlighted the firm's 'first-mover advantage around AI adoption,' deploying AI across deal sourcing, portfolio monitoring, and operational workflows [2]. The firm actively supports portfolio companies in identifying high-impact AI use cases, creating indirect AI-linked value across the $485B AUM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Carlyle Group Q2 2026 Earnings Release — Revenue $1.12B (+14% YoY), Record FRE $358M (+11%), DE $472M (highest in ~4 years), AUM $485B, AlpInvest $107B, $37B distributed TTM, August 2026</w:t>
      </w:r>
    </w:p>
    <w:p>
      <w:pPr>
        <w:spacing w:before="20" w:after="20"/>
        <w:ind w:left="170"/>
      </w:pPr>
      <w:r>
        <w:rPr>
          <w:rFonts w:ascii="Calibri" w:hAnsi="Calibri"/>
          <w:b/>
          <w:color w:val="4A6B25"/>
          <w:sz w:val="15"/>
        </w:rPr>
        <w:t xml:space="preserve">2. </w:t>
      </w:r>
      <w:r>
        <w:rPr>
          <w:rFonts w:ascii="Calibri" w:hAnsi="Calibri"/>
          <w:b w:val="0"/>
          <w:color w:val="3A4A28"/>
          <w:sz w:val="17"/>
        </w:rPr>
        <w:t>Carlyle Group Corporate — CEO Harvey Schwartz (since 2023), AI Strategy ('first-mover advantage'), COO on firmwide AI deployment, 2026 Shareholder Update, portfolio company AI adoption</w:t>
      </w:r>
    </w:p>
    <w:p>
      <w:pPr>
        <w:spacing w:before="20" w:after="20"/>
        <w:ind w:left="170"/>
      </w:pPr>
      <w:r>
        <w:rPr>
          <w:rFonts w:ascii="Calibri" w:hAnsi="Calibri"/>
          <w:b/>
          <w:color w:val="4A6B25"/>
          <w:sz w:val="15"/>
        </w:rPr>
        <w:t xml:space="preserve">3. </w:t>
      </w:r>
      <w:r>
        <w:rPr>
          <w:rFonts w:ascii="Calibri" w:hAnsi="Calibri"/>
          <w:b w:val="0"/>
          <w:color w:val="3A4A28"/>
          <w:sz w:val="17"/>
        </w:rPr>
        <w:t>Carlyle Group ESG — Sustainability Report 2025, ESG Policy (voluntary, non-binding), Net Zero commitment, criticism for omitting NGP Energy Capital from ESG reporting, PEStakeholder,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CG Key Statistics: Forward P/E 12.25x, Trailing P/E 51.63x, D/E 263%, ROE 21.37%, Profit Margin 22.74%, Stock Price ~$65, Dividend $1.40 (2.13%), Avg Volume ~2.5M,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