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CHTR</w:t>
      </w:r>
      <w:r>
        <w:rPr>
          <w:rFonts w:ascii="Calibri" w:hAnsi="Calibri"/>
          <w:b/>
          <w:color w:val="1A2010"/>
          <w:sz w:val="40"/>
        </w:rPr>
        <w:t xml:space="preserve">  Charter Communications, Inc.</w:t>
      </w:r>
    </w:p>
    <w:p>
      <w:pPr>
        <w:spacing w:after="120"/>
      </w:pPr>
      <w:r>
        <w:rPr>
          <w:rFonts w:ascii="Calibri" w:hAnsi="Calibri"/>
          <w:b/>
          <w:color w:val="6E8450"/>
          <w:sz w:val="18"/>
        </w:rPr>
        <w:t>GROWTH SLEEVE · 2026-09-11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Cable &amp; Satellite · NASDAQ · United States</w:t>
      </w:r>
    </w:p>
    <w:p>
      <w:pPr>
        <w:spacing w:after="80"/>
      </w:pPr>
      <w:r>
        <w:rPr>
          <w:rFonts w:ascii="Calibri" w:hAnsi="Calibri"/>
          <w:b w:val="0"/>
          <w:color w:val="3A4A28"/>
          <w:sz w:val="20"/>
        </w:rPr>
        <w:t>Charter Communications, Inc. operates under the Spectrum brand as the largest U.S. cable operator following the 2026 completion of its acquisition of Cox Communications, which combined the two largest cable operators into an entity reaching nearly 36 million broadband subscribers across 46 states [1]. Charter provides broadband internet, mobile (Spectrum Mobile, 12M+ lines), video, and voice services, plus regional Spectrum News channels and enterprise connectivity, under CEO Chris Winfrey. Management raised run-rate operating expense synergy targets from the Cox deal to 'at least $800 million' and is guiding capital expenditures down from $11.4B in 2026 to under $8B by 2028 as rural fiber buildout and network-evolution (DOCSIS 4.0) programs complete [1].</w:t>
      </w:r>
    </w:p>
    <w:p>
      <w:r>
        <w:rPr>
          <w:rFonts w:ascii="Calibri" w:hAnsi="Calibri"/>
          <w:b/>
          <w:color w:val="6E8450"/>
          <w:sz w:val="18"/>
        </w:rPr>
        <w:t>101,000 Employees · https://corporate.charter.com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Charter completed the $34.5B Cox Communications acquisition in 2026, combining the two largest U.S. cable operators to reach 36 million broadband subscribers across 46 states and raising synergy targets to 'at least $800M' — a significant industry-redefining transaction, though the core cable/broadband business model is unchanged [1]. AI Deployment (1/2): Charter is deploying AI in customer service (real-time call transcription, conversational prompting for agents) and CEO Chris Winfrey stated AI could reduce the company's ~$8B annual service cost base with impact 'real and material' within 12-18 months — a specific target, though savings are not yet realized [2]. Market Share (2/2): Post-Cox, Spectrum is the largest cable/broadband provider in the U.S. by footprint and subscriber count, with specific data (36M broadband subscribers, 46 states, 12M+ mobile lines) evidencing category leadership [1]. Product Pipeline (2/2): Specific, dated visibility exists — rural fiber expansion completing by end-2026, network evolution reaching 50% completion in 2026 and finishing in 2027, and CapEx declining to under $8B by 2028 as these programs wind down, unlocking an estimated $28/share in incremental annual free cash flow [1]. R&amp;D Intensity (0/1): No evidence of above-average R&amp;D-as-percent-of-revenue was found; Charter's investment is concentrated in network capital expenditure rather than disclosed R&amp;D spend, typical for a cable infrastructure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Charter's stated purpose of connecting people and communities to broadband opportunity — reflected in its rural fiber buildout reaching previously unserved areas — is clear and reflects real strategic investment, but the language is largely interchangeable with peer telecom/cable operators and has not been tested as a differentiated cause [1]. Community Impact (0/2): No specific charitable foundation, dollar-amount community investment program, or distinctive philanthropic initiative was identified beyond the rural buildout, which is substantially regulatory- and business-driven rather than pure community giving. Employee Retention (0/2): Charter operates an Employee Stock Purchase Plan with tenure-based RSU matching, but no specific turnover or average-tenure data was found, and CEO Winfrey has confirmed 'reduction of same-type... titles and overhead' following the Cox close, introducing near-term workforce uncertainty [3]. Insider Buying (2/2): CEO Chris Winfrey purchased approximately $1.2M of stock in April 2026 (the largest insider purchase in the prior 12 months, increasing his holding 3.2%), and Charter's President separately increased his holding by 1.7%, both signaling leadership conviction after the stock's sharp decline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(growth-stock weighting; no dividend). Liquidity passes comfortably ($140.56 price x ~2.88M average daily volume ≈ $404M &gt;&gt; $1M floor) [4]. ROE of 27.2% and Forward PEG of 0.25 both cap at 1.0 (2x weight each), and Forward P/E of 3.26x also caps at 1.0 given the stock's 46.6% 52-week decline against still-substantial earnings [4]. D/E of 442% is far beyond the 300% floor and scores 0 — Charter carries structurally high leverage (management targets deleveraging to 3.5-3.75x within three years post-Cox) [1][4]. Revenue growth is a drag: TTM revenue declined 1.5% YoY (scoring 0.62) and 5yr revenue CAGR of ~1.3% scores 0.42 (2x weight) as broadband subscriber losses (120K in Q1 2026) offset mobile gains; profit margin of 9.05% scores 0.45 against the 20% target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Charter under Chris Winfrey shows real infinite-game instincts — continuing to invest in network upgrades and rural expansion through a 46.6% stock decline, taking a costly public stand against programmers on behalf of customers, and executing the industry's largest-ever cable consolidation to build durable scale — but its cause is closer to industry-standard 'connectivity' framing than a distinctive Just Cause, and pending Cox-related workforce reductions introduce near-term trust tension.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Charter's connectivity mission — bringing broadband to underserved and rural communities — is genuine and reflected in real capital investment, but the framing is largely interchangeable with peer telecom and cable operators and has not been tested through a full crisis or multi-decade arc as a distinctive cause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Charter's Employee Stock Purchase Plan with tenure-based RSU matching supports retention incentives, an average-to-positive signal, but CEO Winfrey's confirmation of 'reduction of same-type... titles and overhead' following the Cox close, plus a February 2026 discrimination and retaliation lawsuit from engineers over performance-improvement plans, offset that with real organizational stability concerns [3][5].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Winfrey has publicly characterized Charter's relationship with Verizon as 'symbiotic' rather than purely adversarial, and has pushed back on programmers on behalf of customers rather than framing strategy around 'destroying' competitors — evidence of a competitive posture oriented toward mutual improvement rather than zero-sum warfare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Charter has evolved via major industry consolidation (2016 Time Warner Cable/Bright House merger, 2026 Cox acquisition) and diversified into wireless through Spectrum Mobile (12M+ lines), representing real adjacent-market evolution, but the core business model remains fundamentally the same cable/broadband operator rather than a transformative reinvention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Charter continued heavy network-upgrade and rural-fiber capital investment ($11.4B 2026 CapEx) through a 46.6% 52-week stock decline and broadband subscriber losses rather than cutting investment to protect near-term earnings, and Winfrey has publicly and repeatedly told programmers that Charter customers 'won't pay twice' for content as they build out competing streaming services — a principled negotiating stance with real carriage-dispute risk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Charter's completed $34.5B Cox Communications acquisition creates the largest U.S. cable operator by footprint (36M broadband subscribers across 46 states) with raised synergy targets of 'at least $800M,' while capital expenditures are guided to decline from $11.4B in 2026 to under $8B by 2028 as rural fiber and network-evolution programs finish, unlocking an estimated $28/share in incremental annual free cash flow and accelerating FCF from ~$5B in 2025 to $7.9B by 2028 [1]. The stock trades at just 3.26x forward earnings and ~9.5x forward free cash flow versus a historical 15-20x range after a 46.6% 52-week decline, and CEO Chris Winfrey backed the value with the largest insider stock purchase in the past year (~$1.2M in April 2026) [1][3][4]. Spectrum Mobile's 368,000 net adds in Q1 2026 (12M+ total lines) and the opportunity to deploy Charter's proven mobile pricing into Cox's underpenetrated base, plus early AI deployment in customer service targeting material reductions to an ~$8B cost base, provide multiple paths to margin expansion even as legacy video and broadband subscriber counts shrink [1][2].</w:t>
      </w:r>
    </w:p>
    <w:p>
      <w:pPr>
        <w:spacing w:after="120"/>
      </w:pPr>
      <w:r>
        <w:rPr>
          <w:rFonts w:ascii="Calibri" w:hAnsi="Calibri"/>
          <w:b w:val="0"/>
          <w:color w:val="3A4A28"/>
          <w:sz w:val="20"/>
        </w:rPr>
        <w:t>The bear case centers on structurally negative core-business trends and heavy leverage: Charter lost 120,000 broadband subscribers in Q1 2026 alone, TTM revenue declined 1.5% YoY, and D/E of 442% is well beyond the 300% floor this framework treats as unsustainable, with management targeting deleveraging to only 3.5-3.75x within three years post-close — a level that still constrains share buybacks precisely when the stock looks cheap [1][4]. Execution risk is elevated: the bull case depends entirely on CapEx guidance holding, broadband losses stabilizing, and new COO Nick Jeffery successfully driving customer-experience improvements, any of which could slip given the scale of integrating Cox's operations [1]. A February 2026 discrimination and retaliation lawsuit from engineers over performance-improvement plans, combined with CEO-confirmed post-merger headcount reductions and Charter's continued failure to publish GHG emissions data or reduction targets despite repeated shareholder requests, point to governance and culture friction beneath the financial turnaround narrative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CapEx declining from $11.4B (2026) to under $8B (2028) as rural fiber and network-evolution programs complete, projected to unlock ~$28/share in incremental annual free cash flow [1]</w:t>
      </w:r>
    </w:p>
    <w:p>
      <w:pPr>
        <w:spacing w:before="40" w:after="40"/>
        <w:ind w:left="283"/>
      </w:pPr>
      <w:r>
        <w:rPr>
          <w:rFonts w:ascii="Calibri" w:hAnsi="Calibri"/>
          <w:b/>
          <w:color w:val="4A6B25"/>
          <w:sz w:val="20"/>
        </w:rPr>
        <w:t xml:space="preserve">2. </w:t>
      </w:r>
      <w:r>
        <w:rPr>
          <w:rFonts w:ascii="Calibri" w:hAnsi="Calibri"/>
          <w:b w:val="0"/>
          <w:color w:val="3A4A28"/>
          <w:sz w:val="20"/>
        </w:rPr>
        <w:t>Cox integration synergies ramping toward the raised 'at least $800M' run-rate target, plus cross-sell of Spectrum Mobile pricing into Cox's underpenetrated wireless base [1]</w:t>
      </w:r>
    </w:p>
    <w:p>
      <w:pPr>
        <w:spacing w:before="40" w:after="40"/>
        <w:ind w:left="283"/>
      </w:pPr>
      <w:r>
        <w:rPr>
          <w:rFonts w:ascii="Calibri" w:hAnsi="Calibri"/>
          <w:b/>
          <w:color w:val="4A6B25"/>
          <w:sz w:val="20"/>
        </w:rPr>
        <w:t xml:space="preserve">3. </w:t>
      </w:r>
      <w:r>
        <w:rPr>
          <w:rFonts w:ascii="Calibri" w:hAnsi="Calibri"/>
          <w:b w:val="0"/>
          <w:color w:val="3A4A28"/>
          <w:sz w:val="20"/>
        </w:rPr>
        <w:t>AI-driven customer service cost reduction targeting material impact on Charter's ~$8B annual service cost base within 12-18 months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Structurally high leverage (D/E of 442%, current 4.15x net leverage) limits financial flexibility if broadband subscriber losses (120K in Q1 2026 alone) or EBITDA disappoint relative to Cox integration assumptions [1][4]</w:t>
      </w:r>
    </w:p>
    <w:p>
      <w:pPr>
        <w:spacing w:before="40" w:after="40"/>
        <w:ind w:left="283"/>
      </w:pPr>
      <w:r>
        <w:rPr>
          <w:rFonts w:ascii="Calibri" w:hAnsi="Calibri"/>
          <w:b/>
          <w:color w:val="4A6B25"/>
          <w:sz w:val="20"/>
        </w:rPr>
        <w:t xml:space="preserve">2. </w:t>
      </w:r>
      <w:r>
        <w:rPr>
          <w:rFonts w:ascii="Calibri" w:hAnsi="Calibri"/>
          <w:b w:val="0"/>
          <w:color w:val="3A4A28"/>
          <w:sz w:val="20"/>
        </w:rPr>
        <w:t>Continued core-business erosion — TTM revenue down 1.5% YoY and ongoing video cord-cutting — means the investment thesis depends on cost/capex execution rather than top-line growth [1][4]</w:t>
      </w:r>
    </w:p>
    <w:p>
      <w:pPr>
        <w:spacing w:before="40" w:after="40"/>
        <w:ind w:left="283"/>
      </w:pPr>
      <w:r>
        <w:rPr>
          <w:rFonts w:ascii="Calibri" w:hAnsi="Calibri"/>
          <w:b/>
          <w:color w:val="4A6B25"/>
          <w:sz w:val="20"/>
        </w:rPr>
        <w:t xml:space="preserve">3. </w:t>
      </w:r>
      <w:r>
        <w:rPr>
          <w:rFonts w:ascii="Calibri" w:hAnsi="Calibri"/>
          <w:b w:val="0"/>
          <w:color w:val="3A4A28"/>
          <w:sz w:val="20"/>
        </w:rPr>
        <w:t>Post-merger workforce reductions and an active discrimination/retaliation lawsuit (filed February 2026) signal potential culture and integration friction as Charter absorbs Cox's operations under new COO Nick Jeffery [1][3][5]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Charter's core business — physical broadband/cable/fiber infrastructure and last-mile connectivity — is structurally protected from AI substitution; you cannot replace a physical network with a chatbot, and rising AI data-center and cloud usage is, if anything, a secular tailwind for broadband/data consumption [1]. Video/linear-TV revenue faces continued secular pressure from streaming and cord-cutting, but this is a pre-existing dynamic rather than a new AI-driven threat, and CEO Winfrey has publicly stated Charter is only 'in the first or second inning' of capturing AI's benefits rather than facing disruption from it [2]. AI Opportunity (1/1): Charter is deploying AI-driven ad targeting through Spectrum Reach's partnership with Anoki AI (ContextIQ platform integrated across streaming ad inventory) and is using AI in customer service to work toward a targeted material reduction in its ~$8B service cost base, providing early quantified AI-linked commercial impact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Charter Q2 2026 Results and Cox Acquisition Completion — corporate.charter.com, ir.charter.com, Fierce Network, TIKR, August 2026</w:t>
      </w:r>
    </w:p>
    <w:p>
      <w:pPr>
        <w:spacing w:before="20" w:after="20"/>
        <w:ind w:left="170"/>
      </w:pPr>
      <w:r>
        <w:rPr>
          <w:rFonts w:ascii="Calibri" w:hAnsi="Calibri"/>
          <w:b/>
          <w:color w:val="4A6B25"/>
          <w:sz w:val="15"/>
        </w:rPr>
        <w:t xml:space="preserve">2. </w:t>
      </w:r>
      <w:r>
        <w:rPr>
          <w:rFonts w:ascii="Calibri" w:hAnsi="Calibri"/>
          <w:b w:val="0"/>
          <w:color w:val="3A4A28"/>
          <w:sz w:val="17"/>
        </w:rPr>
        <w:t>Charter CEO Chris Winfrey AI Commentary — Seeking Alpha, Fierce Network, Hollywood Reporter, 2026</w:t>
      </w:r>
    </w:p>
    <w:p>
      <w:pPr>
        <w:spacing w:before="20" w:after="20"/>
        <w:ind w:left="170"/>
      </w:pPr>
      <w:r>
        <w:rPr>
          <w:rFonts w:ascii="Calibri" w:hAnsi="Calibri"/>
          <w:b/>
          <w:color w:val="4A6B25"/>
          <w:sz w:val="15"/>
        </w:rPr>
        <w:t xml:space="preserve">3. </w:t>
      </w:r>
      <w:r>
        <w:rPr>
          <w:rFonts w:ascii="Calibri" w:hAnsi="Calibri"/>
          <w:b w:val="0"/>
          <w:color w:val="3A4A28"/>
          <w:sz w:val="17"/>
        </w:rPr>
        <w:t>Charter Insider Transactions — Yahoo Finance, MarketBeat, Simply Wall St, April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CHTR Key Statistics and Financials,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Charter Communications ESG Disclosure Gaps and Engineers' Discrimination Lawsuit — SEC DEF 14A, HCAMag, ClassAction.org,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