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CLF</w:t>
      </w:r>
      <w:r>
        <w:rPr>
          <w:rFonts w:ascii="Calibri" w:hAnsi="Calibri"/>
          <w:b/>
          <w:color w:val="1A2010"/>
          <w:sz w:val="40"/>
        </w:rPr>
        <w:t xml:space="preserve">  Cleveland-Cliffs Inc.</w:t>
      </w:r>
    </w:p>
    <w:p>
      <w:pPr>
        <w:spacing w:after="120"/>
      </w:pPr>
      <w:r>
        <w:rPr>
          <w:rFonts w:ascii="Calibri" w:hAnsi="Calibri"/>
          <w:b/>
          <w:color w:val="6E8450"/>
          <w:sz w:val="18"/>
        </w:rPr>
        <w:t>GROWTH SLEEVE · 2026-10-04 · Inspire: 31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Steel · NYSE · United States</w:t>
      </w:r>
    </w:p>
    <w:p>
      <w:pPr>
        <w:spacing w:after="80"/>
      </w:pPr>
      <w:r>
        <w:rPr>
          <w:rFonts w:ascii="Calibri" w:hAnsi="Calibri"/>
          <w:b w:val="0"/>
          <w:color w:val="3A4A28"/>
          <w:sz w:val="20"/>
        </w:rPr>
        <w:t>Cleveland-Cliffs is the largest flat-rolled steel producer in North America, operating a vertically integrated portfolio spanning iron ore mining, direct reduced iron (DRI), steelmaking via blast furnaces and electric arc furnaces, and downstream finishing operations. Transformed from a pure-play iron ore miner into a vertically integrated steelmaker through acquisitions of AK Steel (2020), ArcelorMittal USA (2020), and Stelco (2024). CEO Lourenco Goncalves has led since August 2014. Q2 2026 revenue reached $5.23B (+6% YoY) with adjusted EBITDA of $286M, and management guided Q3 EBITDA to ~$575M (more than doubling Q2), with H2 2026 expected to be the strongest since 2021.</w:t>
      </w:r>
    </w:p>
    <w:p>
      <w:r>
        <w:rPr>
          <w:rFonts w:ascii="Calibri" w:hAnsi="Calibri"/>
          <w:b/>
          <w:color w:val="6E8450"/>
          <w:sz w:val="18"/>
        </w:rPr>
        <w:t>25,000 Employees · https://www.clevelandcliffs.com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Cleveland-Cliffs executed a transformative business model pivot from iron ore miner to North America's largest flat-rolled steel producer through three major acquisitions — AK Steel and ArcelorMittal USA in 2020, followed by Stelco in 2024 [1]. This redefined the company's identity and created ~26 million tons of annual raw steel capacity. Q3 2026 EBITDA guidance of ~$575M (more than double Q2) and management's projection that H2 2026 will be the strongest since 2021 suggest the transformation is now bearing financial fruit. AI Deployment (1/2): CLF announced a multi-year partnership with Palantir Technologies in April 2026 to deploy AI across production planning, order entry, and operational workflows across its 27 facilities [2]. CEO Goncalves called it 'nothing short of a gamechanger,' but no quantifiable savings or revenue impact has been reported yet — deployment is in early stages. Market Share (2/2): CLF is the undisputed #1 flat-rolled steel producer in North America by volume, and the largest domestic iron ore pellet producer, after consolidating AK Steel, ArcelorMittal USA, and Stelco into a single integrated platform [1]. This dominant share position provides pricing power in contract negotiations with automotive and industrial customers. Product Pipeline (0/2): No next-generation products with specific launch dates or revenue visibility. The strategic focus is on operational efficiency and cost optimization, not product innovation. R&amp;D Intensity (0/1): Steel manufacturing is not an R&amp;D-intensive industry. CLF's R&amp;D spending as a percentage of $18.6B revenue is minimal.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Cleveland-Cliffs positions itself around American steelmaking and domestic supply chain resilience — CEO Goncalves frames the company as defending U.S. manufacturing capability and union jobs [2]. While this has genuine resonance in trade policy, it functions more as a lobbying narrative than an articulated Just Cause. The stated values of 'Trust, Respect and Open Communication' are standard corporate boilerplate. Community Impact (1/2): CLF donated approximately $7.5M to local communities in 2023 through its Foundation, with employee matching programs contributing an additional $550K [3]. Steel mills are major employers in their communities (Middletown OH, Burns Harbor IN, etc.), providing economic anchors. This represents meaningful but standard corporate philanthropy. Employee Retention (0/2): Glassdoor rates CLF at 3.1/5 with reviews describing a 'fear based culture,' a 'tyrannical CEO,' limited advancement opportunities, and strict 5-day on-site mandates [2]. The culture rating is 3% below similar manufacturing companies. This suggests a low-trust environment inconsistent with mission-driven retention. Insider Buying (0/2): No evidence of meaningful net insider buying. CFO Celso Goncalves Jr. sold $2.9M in shares in June 2026, suggesting insider sentiment is not bullish.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Cleveland-Cliffs' infrastructure benefits from an attractive valuation: Forward P/E of 15.5 (improved dramatically from ~30x as analysts project profit recovery) is well below the 20x target, and PEG of 0.43 scores perfectly against the 1.0 target [4]. D/E of 132.7% reflects the leveraged balance sheet from three major acquisitions but is manageable within the 300% floor (score 0.73). Revenue growth YoY of 5.9% approaches the 10% target as Q2 2026 revenue of $5.23B grew 6% [1]. The primary drags are: ROE of -13.9% (2x weight at growth) reflects ongoing net losses — Q1 loss of $0.42/share and Q2 loss of $0.20/share continue the streak, though narrowing [1]. Profit margin of -4.6% is negative despite $18.6B in annual revenue, scoring zero. The 5-year revenue CAGR of approximately -2% (using the post-acquisition baseline of ~$20.4B in FY2021 to $18.6B in FY2025) reflects revenue attrition from the 2022 peak. Liquidity is excellent at ~$210M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Cleveland-Cliffs under Lourenco Goncalves presents a paradox: extraordinary existential flexibility (mining-to-steelmaking transformation) and genuine courage to lead (multi-billion acquisitions during COVID) coexist with a fear-based management culture and combative competitive mindset. Goncalves' vision of American steelmaking dominance has cause-like qualities but functions more as competitive positioning than a Sinek-style Just Cause. The company has demonstrated the willingness to make transformative bets, but the organizational culture — marked by Glassdoor descriptions of tyrannical leadership — undermines the trust foundation that infinite game players need.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CLF positions itself around 'American steelmaking' and domestic supply chain resilience, with CEO Goncalves framing the company as a defender of U.S. manufacturing and union jobs [1]. This narrative has genuine resonance in national security and trade policy contexts, and it does guide some strategic decisions (acquiring domestic capacity, advocating for tariffs). However, it functions more as competitive positioning than a vision of a better future. The underlying motivation is market dominance ('biggest,' 'most dominant') rather than advancing a future state that does not yet exist. Sinek would note the purpose is about winning, not about enduring.</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reviews consistently describe a low-trust environment under Goncalves' leadership. Glassdoor feedback cites a 'fear based culture,' a 'tyrannical CEO,' limited autonomy for middle management, and strict 5-day office mandates that signal distrust [2]. Goncalves is known for confrontational earnings calls and combative rhetoric, reflecting a top-down command-and-control style antithetical to Sinek's Circle of Safety. However, Goncalves' unusually pro-union stance with the USW provides some counterweight — he publicly fights for union jobs and negotiates collaboratively with labor. The 3.1/5 Glassdoor rating is below industry average. Sinek would see an organization where employees protect themselves rather than take risks.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Goncalves' competitive language is overtly finite — known for combative public statements about competitors (Nucor, U.S. Steel, Nippon Steel), confrontational earnings calls, and framing competition as a war to win through consolidation and tariff protection rather than self-improvement [2]. The failed U.S. Steel acquisition bid and ongoing hostile rhetoric toward Nippon Steel reflect a mindset of competitive destruction. This is a textbook finite competitive posture — Sinek would see a leader obsessed with beating rivals rather than improving his own organization.</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Cleveland-Cliffs executed one of the most dramatic transformations in American industrial history, pivoting from a $2B pure-play iron ore mining company to North America's largest flat-rolled steel producer with $18.6B in revenue through the acquisitions of AK Steel and ArcelorMittal USA in 2020 and Stelco in 2024 [1]. This was a genuine business model transformation — the company fundamentally changed what it does, how it competes, and who it serves. The pivot was strategic, not desperate — CLF recognized that vertical integration from ore to finished steel would create a defensible competitive advantage. Sinek would recognize this as existential flexibility in action.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Goncalves demonstrated extraordinary conviction by executing the AK Steel acquisition in March 2020 at the onset of COVID-19, then acquiring ArcelorMittal USA's operations in December 2020 — billions in combined transactions during maximum economic uncertainty [1]. He followed this with the Stelco acquisition in 2024 during a period of steel price weakness. Each acquisition required taking on significant debt and betting the company's future on an untested vertically integrated model. This is a clear pattern of leadership choosing long-term capability over short-term safety — investing heavily when others were retrenching.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Cleveland-Cliffs at $11.32 and a forward P/E of 15.5 offers optionality on a steel cycle recovery now underway. Q2 2026 adjusted EBITDA of $286M tripled from Q1, and management guided Q3 EBITDA to ~$575M — more than doubling again sequentially — with H2 2026 expected to be the strongest since 2021 [1]. The PEG ratio of 0.43 signals that the earnings recovery is significantly undervalued relative to expected growth. CLF's vertically integrated model (iron ore to DRI to steel to finishing) provides cost advantages when scrap prices are elevated, and the #1 North American flat-rolled steel position gives pricing power with automotive and industrial customers. The Palantir AI partnership could drive operational efficiencies across 27 facilities, and trade policy (Section 232 tariffs) provides a structural floor for domestic steel prices [2]. The Inspire Impact Score of 31 (ALIGNED) with zero negative attributions enables full faith-based allocation.</w:t>
      </w:r>
    </w:p>
    <w:p>
      <w:pPr>
        <w:spacing w:after="120"/>
      </w:pPr>
      <w:r>
        <w:rPr>
          <w:rFonts w:ascii="Calibri" w:hAnsi="Calibri"/>
          <w:b w:val="0"/>
          <w:color w:val="3A4A28"/>
          <w:sz w:val="20"/>
        </w:rPr>
        <w:t>The bear case centers on persistent unprofitability and cultural risk. CLF has posted multiple consecutive quarters of net losses despite being North America's largest flat-rolled steel producer, with negative ROE of -13.9% and profit margin of -4.6% indicating the acquisition-driven growth strategy has not yet consistently delivered [4]. D/E of 132.7% reflects the leveraged balance sheet built through three debt-funded acquisitions, and interest expense consumes significant operating cash flow. CEO Goncalves' confrontational leadership creates governance risk — Glassdoor reviews describe a 'fear based culture' and 'tyrannical CEO,' and the key-man risk is elevated given his dominant role in strategy, external relations, and labor negotiations [2]. CFO insider selling of $2.9M in shares undermines confidence. Steel remains a deeply cyclical commodity business, and the revenue trajectory shows decline from the $23B 2022 peak to $18.6B in 2025. Any recession or sustained decline in automotive production would erode the recovery thesis.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Q3 2026 adjusted EBITDA guidance of ~$575M (more than doubling Q2) with H2 2026 expected to be the strongest since 2021, driven by HRC price recovery and Stelco integration synergies flowing through operations [1]</w:t>
      </w:r>
    </w:p>
    <w:p>
      <w:pPr>
        <w:spacing w:before="40" w:after="40"/>
        <w:ind w:left="283"/>
      </w:pPr>
      <w:r>
        <w:rPr>
          <w:rFonts w:ascii="Calibri" w:hAnsi="Calibri"/>
          <w:b/>
          <w:color w:val="4A6B25"/>
          <w:sz w:val="20"/>
        </w:rPr>
        <w:t xml:space="preserve">2. </w:t>
      </w:r>
      <w:r>
        <w:rPr>
          <w:rFonts w:ascii="Calibri" w:hAnsi="Calibri"/>
          <w:b w:val="0"/>
          <w:color w:val="3A4A28"/>
          <w:sz w:val="20"/>
        </w:rPr>
        <w:t>Palantir AI platform deployment across production planning, order entry, and operational workflows at 27 facilities could unlock quantifiable cost savings and production optimization, with CEO Goncalves calling it a 'gamechanger' [2]</w:t>
      </w:r>
    </w:p>
    <w:p>
      <w:pPr>
        <w:spacing w:before="40" w:after="40"/>
        <w:ind w:left="283"/>
      </w:pPr>
      <w:r>
        <w:rPr>
          <w:rFonts w:ascii="Calibri" w:hAnsi="Calibri"/>
          <w:b/>
          <w:color w:val="4A6B25"/>
          <w:sz w:val="20"/>
        </w:rPr>
        <w:t xml:space="preserve">3. </w:t>
      </w:r>
      <w:r>
        <w:rPr>
          <w:rFonts w:ascii="Calibri" w:hAnsi="Calibri"/>
          <w:b w:val="0"/>
          <w:color w:val="3A4A28"/>
          <w:sz w:val="20"/>
        </w:rPr>
        <w:t>Section 232 tariff protection and potential trade enforcement expansion under current U.S. administration provides a structural floor for domestic steel pricing, protecting CLF's cost structure against lower-priced imports from Asia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net losses with -13.9% ROE and -4.6% profit margin at $18.6B revenue scale raise questions about whether the vertically integrated model can generate consistent profits — the earnings recovery thesis remains unproven despite improving EBITDA trajectory [4]</w:t>
      </w:r>
    </w:p>
    <w:p>
      <w:pPr>
        <w:spacing w:before="40" w:after="40"/>
        <w:ind w:left="283"/>
      </w:pPr>
      <w:r>
        <w:rPr>
          <w:rFonts w:ascii="Calibri" w:hAnsi="Calibri"/>
          <w:b/>
          <w:color w:val="4A6B25"/>
          <w:sz w:val="20"/>
        </w:rPr>
        <w:t xml:space="preserve">2. </w:t>
      </w:r>
      <w:r>
        <w:rPr>
          <w:rFonts w:ascii="Calibri" w:hAnsi="Calibri"/>
          <w:b w:val="0"/>
          <w:color w:val="3A4A28"/>
          <w:sz w:val="20"/>
        </w:rPr>
        <w:t>Leveraged balance sheet with D/E of 132.7% built through debt-funded acquisitions (AK Steel, ArcelorMittal USA, Stelco) creates interest expense burden and limits financial flexibility if steel prices decline sustained below $700/ton</w:t>
      </w:r>
    </w:p>
    <w:p>
      <w:pPr>
        <w:spacing w:before="40" w:after="40"/>
        <w:ind w:left="283"/>
      </w:pPr>
      <w:r>
        <w:rPr>
          <w:rFonts w:ascii="Calibri" w:hAnsi="Calibri"/>
          <w:b/>
          <w:color w:val="4A6B25"/>
          <w:sz w:val="20"/>
        </w:rPr>
        <w:t xml:space="preserve">3. </w:t>
      </w:r>
      <w:r>
        <w:rPr>
          <w:rFonts w:ascii="Calibri" w:hAnsi="Calibri"/>
          <w:b w:val="0"/>
          <w:color w:val="3A4A28"/>
          <w:sz w:val="20"/>
        </w:rPr>
        <w:t>Key-man and governance risk concentrated in CEO Goncalves, whose confrontational leadership style, fear-based management culture (Glassdoor 3.1/5), and dominant strategic role create organizational vulnerability — succession planning is critical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Cleveland-Cliffs' core business — mining iron ore, producing direct reduced iron, operating blast furnaces and electric arc furnaces, and finishing steel products — is entirely physical-world manufacturing that AI structurally cannot displace [1]. Steel production requires massive capital-intensive infrastructure, high-temperature metallurgy, complex logistics, and deep regulatory compliance (environmental permits, safety standards, trade regulations). No analyst has identified AI as a displacement risk to integrated steel producers. Furthermore, AI-driven demand for data center construction, power grid expansion, and infrastructure buildout directly increases steel consumption, making CLF a potential net beneficiary of AI proliferation. The Palantir partnership demonstrates AI is deployed as an efficiency enabler, not a competitive threat [2]. AI Opportunity (0/1): While the Palantir partnership represents meaningful AI deployment for internal operational optimization across 27 facilities, CLF does not generate revenue from AI products or services sold to external customers [2]. The AI platform is an internal efficiency tool embedded in production planning and order entry, not a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Cleveland-Cliffs Q2 2026 Earnings — Revenue $5.23B (+6% YoY), Net Loss $(0.20)/share, Adjusted EBITDA $286M, Q3 EBITDA Guidance ~$575M, H2 2026 Strongest Since 2021 — Cleveland-Cliffs.com, SEC 8-K, July 2026</w:t>
      </w:r>
    </w:p>
    <w:p>
      <w:pPr>
        <w:spacing w:before="20" w:after="20"/>
        <w:ind w:left="170"/>
      </w:pPr>
      <w:r>
        <w:rPr>
          <w:rFonts w:ascii="Calibri" w:hAnsi="Calibri"/>
          <w:b/>
          <w:color w:val="4A6B25"/>
          <w:sz w:val="15"/>
        </w:rPr>
        <w:t xml:space="preserve">2. </w:t>
      </w:r>
      <w:r>
        <w:rPr>
          <w:rFonts w:ascii="Calibri" w:hAnsi="Calibri"/>
          <w:b w:val="0"/>
          <w:color w:val="3A4A28"/>
          <w:sz w:val="17"/>
        </w:rPr>
        <w:t>Cleveland-Cliffs Palantir AI Partnership (April 2026) and Leadership Culture — Multi-year AI platform deployment, Glassdoor 3.1/5 reviews, CEO Goncalves profile — Bloomberg, Manufacturing Dive, BusinessWire, 2026</w:t>
      </w:r>
    </w:p>
    <w:p>
      <w:pPr>
        <w:spacing w:before="20" w:after="20"/>
        <w:ind w:left="170"/>
      </w:pPr>
      <w:r>
        <w:rPr>
          <w:rFonts w:ascii="Calibri" w:hAnsi="Calibri"/>
          <w:b/>
          <w:color w:val="4A6B25"/>
          <w:sz w:val="15"/>
        </w:rPr>
        <w:t xml:space="preserve">3. </w:t>
      </w:r>
      <w:r>
        <w:rPr>
          <w:rFonts w:ascii="Calibri" w:hAnsi="Calibri"/>
          <w:b w:val="0"/>
          <w:color w:val="3A4A28"/>
          <w:sz w:val="17"/>
        </w:rPr>
        <w:t>Cleveland-Cliffs Sustainability Report 2023 — Scope 1&amp;2 GHG emissions 25%+ below reduction goal, $7.5M community donations, Sustainalytics ESG Risk Score 37 — ClevelandCliffs.com, 2024</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CLF Key Statistics: Forward P/E 15.50, PEG 0.43, D/E 132.7%, ROE -13.86%, Profit Margin -4.56%, Avg Volume 18.5M,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