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CLPR</w:t>
      </w:r>
      <w:r>
        <w:rPr>
          <w:rFonts w:ascii="Calibri" w:hAnsi="Calibri"/>
          <w:b/>
          <w:color w:val="1A2010"/>
          <w:sz w:val="40"/>
        </w:rPr>
        <w:t xml:space="preserve">  Clipper Realty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29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Residential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Clipper Realty owns and operates multifamily and commercial properties in New York City, controlled by Co-Chairman and CEO David Bistricer (about 40.7% stake) through a dual-class structure. Q2 2026 revenue was $38.6M (-1.2% YoY) with a $6.3M net loss and AFFO of $3.8M versus $8.3M a year ago after a commercial lease termination in the NYC portfolio.</w:t>
      </w:r>
    </w:p>
    <w:p>
      <w:r>
        <w:rPr>
          <w:rFonts w:ascii="Calibri" w:hAnsi="Calibri"/>
          <w:b/>
          <w:color w:val="6E8450"/>
          <w:sz w:val="18"/>
        </w:rPr>
        <w:t>https://www.clipperrealty.com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found on new launches, AI deployment, share leadership, named pipeline or R&amp;D; a NYC landlord with the same business model as five years ago. Residential leasing is strong (+$3.1M YoY) but that is execution, not innovation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1: no distinctive purpose beyond owning and operating NYC multifamily/commercial assets was found [1]. CEO owns about 40.7% but no open-market insider buying data was found; community and retention data absent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58,102 avg daily shares x $3.14 = about $182K, below $1M, so Infrastructure = 0. D/E and ROE unavailable from yfinance.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Controlled, leveraged landlord with related-party service providers; no articulated cause beyond asset ownership.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Just Cause evident; the company exists to own and lease NYC real estate for shareholders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Stable family-controlled management but no cultural or retention evidence found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competitive learning mindset evidenced.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Same asset-ownership model as at IPO; no strategic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examples of costly long-term sacrifice found; related-party service providers (IronHound, Clipper Equity) create conflict-of-interest concerns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Residential demand in NYC is strong, with Q2 2026 residential revenue up $3.1M to $32.2M on leasing [1]. The stock trades near $3 with a 7.9x forward P/E and AFFO recovery would reprice it sharply.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Q2 2026 net loss was $6.3M versus $1.4M, AFFO fell to $3.8M from $8.3M after commercial revenue dropped $3.6M on a lease termination, and TTM revenue is down 1.7% [1]. Dual-class control with a 40.7% CEO stake and affiliated vendors limits minority protection, and daily dollar volume of about $182K fails the IOWN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Backfilling the terminated NYC commercial lease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residential rent growth lifting AFFO from $3.8M quarterly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Refinancing at lower rates easing interest burden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Refinancing risk on a highly levered NYC portfolio with negative margins (-8.4%)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Rent regulation and NYC policy changes constraining residential income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Related-party conflicts and dual-class control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Physical NYC residential real estate cannot be displaced by AI; demand is driven by housing scarcity and rent regulation, and analysts raise no AI substitution concern [1]. No AI revenue, so the tiebreaker scores 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Clipper Realty Q2 2026 Results, Business Wire/Morningstar,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Clipper Realty Executive Compensation and Governance 2026, Panabee/Yahoo Finance profile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