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CLSK</w:t>
      </w:r>
      <w:r>
        <w:rPr>
          <w:rFonts w:ascii="Calibri" w:hAnsi="Calibri"/>
          <w:b/>
          <w:color w:val="1A2010"/>
          <w:sz w:val="40"/>
        </w:rPr>
        <w:t xml:space="preserve">  CleanSpark, Inc.</w:t>
      </w:r>
    </w:p>
    <w:p>
      <w:pPr>
        <w:spacing w:after="120"/>
      </w:pPr>
      <w:r>
        <w:rPr>
          <w:rFonts w:ascii="Calibri" w:hAnsi="Calibri"/>
          <w:b/>
          <w:color w:val="6E8450"/>
          <w:sz w:val="18"/>
        </w:rPr>
        <w:t>GROWTH SLEEVE · 2026-10-03 · Inspire: 63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Capital Markets · NASDAQ · United States</w:t>
      </w:r>
    </w:p>
    <w:p>
      <w:pPr>
        <w:spacing w:after="80"/>
      </w:pPr>
      <w:r>
        <w:rPr>
          <w:rFonts w:ascii="Calibri" w:hAnsi="Calibri"/>
          <w:b w:val="0"/>
          <w:color w:val="3A4A28"/>
          <w:sz w:val="20"/>
        </w:rPr>
        <w:t>CleanSpark is a U.S. bitcoin miner pivoting toward AI and high-performance computing data centers. Q3 FY2026 revenue was $138.0M (-30.5% YoY) with a GAAP net loss of $240M, while TTM revenue was $679M (+7.5%) [1]. The company signed a 20-year triple-net lease at Sandersville representing $6.6B in contracted revenue, scalable to $11.6B with extensions [1].</w:t>
      </w:r>
    </w:p>
    <w:p>
      <w:r>
        <w:rPr>
          <w:rFonts w:ascii="Calibri" w:hAnsi="Calibri"/>
          <w:b/>
          <w:color w:val="6E8450"/>
          <w:sz w:val="18"/>
        </w:rPr>
        <w:t>https://www.cleanspark.com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CleanSpark is repositioning from bitcoin mining to AI data-center development, anchored by the Sandersville lease, one significant pivot not yet generating revenue [1]. AI Deployment (1/2): it appointed an SVP of AI Data Centers and is building AI hosting capacity, but no AI revenue or savings have been reported [2]. Market Share (1/2): one of the largest U.S. public bitcoin miners, though hashrate is not a category-defining share. Pipeline (2/2): Sandersville has $6.6B contracted over 20 years, scalable to $11.6B, with specific terms [1]. R&amp;D (0/1): no R&amp;D disclosed.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the company describes leaving the planet better by using low-carbon energy and building critical digital infrastructure, a partly boilerplate statement [3]. Community Impact (1/2): ESG reports cite more than 90% clean energy in its mix, but no dollar-quantified community program was found [3]. Employee Retention (0/2): no retention data found; reviews describe top-down management. Insider Buying (0/2): no net insider buying found.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Growth; liquidity passed (20.3M shares x $12.74 = ~$259M daily). D/E of 234.7% scores 0.28; ROE of -68.6% scores 0 (2x); revenue growth of -30.5% scores 0; 5-year revenue CAGR (above 10%, from a small base) scores 1.0 (2x); forward P/E is negative (-7.0) and scores 0; profit margin of -146.9% scores 0. PEG unavailable and excluded. Weighted 2.28 of 8 gives 2.9, rounded to 3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CleanSpark is playing a survival and positioning game: mining economics deteriorate after halving, and management is racing to pivot to AI hosting with heavy leverage. There is no articulated Just Cause beyond growth, and the culture is described as top-down and stressful.</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the vision is to be a large data-center developer, a growth and returns aim without a better-future cause [2].</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rating of 3.3 and reviews describing an authoritarian top-down style that made the environment stressful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competitive framing is about hashrate and capacity growth; no rival-learning evidence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shift from mining to AI hosting is a genuine pivot, but it is incomplete and driven by pressure on mining margins [1][2].</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committing to a costly AI data-center build while mining revenue falls is a long-term bet, though it is leveraged and driven by economics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CleanSpark at $12.74 (market cap ~$3.3B) offers an option on its AI data-center pivot: the 20-year Sandersville triple-net lease carries $6.6B of contracted revenue, scalable to $11.6B, and would convert a volatile mining business into long-dated, contracted rental income [1]. TTM revenue of $679M is up 7.5%, and the 90%+ clean energy mix aids power sourcing for AI tenants [1][3].</w:t>
      </w:r>
    </w:p>
    <w:p>
      <w:pPr>
        <w:spacing w:after="120"/>
      </w:pPr>
      <w:r>
        <w:rPr>
          <w:rFonts w:ascii="Calibri" w:hAnsi="Calibri"/>
          <w:b w:val="0"/>
          <w:color w:val="3A4A28"/>
          <w:sz w:val="20"/>
        </w:rPr>
        <w:t>Current fundamentals are weak: Q3 FY2026 revenue fell 30.5% to $138.0M with a GAAP net loss of $240M, Q1 lost $378.7M, ROE is -68.6% and D/E is 234.7% [1]. The pivot requires significant capital against a leveraged balance sheet, mining margins are compressed, and results swing with bitcoin prices. Forward P/E is negative (-7.0), and employee reviews cite stressful top-down management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Sandersville lease commencement converting $6.6B of contracted revenue into recognized income as the site is energized [1]</w:t>
      </w:r>
    </w:p>
    <w:p>
      <w:pPr>
        <w:spacing w:before="40" w:after="40"/>
        <w:ind w:left="283"/>
      </w:pPr>
      <w:r>
        <w:rPr>
          <w:rFonts w:ascii="Calibri" w:hAnsi="Calibri"/>
          <w:b/>
          <w:color w:val="4A6B25"/>
          <w:sz w:val="20"/>
        </w:rPr>
        <w:t xml:space="preserve">2. </w:t>
      </w:r>
      <w:r>
        <w:rPr>
          <w:rFonts w:ascii="Calibri" w:hAnsi="Calibri"/>
          <w:b w:val="0"/>
          <w:color w:val="3A4A28"/>
          <w:sz w:val="20"/>
        </w:rPr>
        <w:t>Additional AI/HPC tenant signings leveraging the SVP of AI Data Centers hire and powered-land pipeline [2]</w:t>
      </w:r>
    </w:p>
    <w:p>
      <w:pPr>
        <w:spacing w:before="40" w:after="40"/>
        <w:ind w:left="283"/>
      </w:pPr>
      <w:r>
        <w:rPr>
          <w:rFonts w:ascii="Calibri" w:hAnsi="Calibri"/>
          <w:b/>
          <w:color w:val="4A6B25"/>
          <w:sz w:val="20"/>
        </w:rPr>
        <w:t xml:space="preserve">3. </w:t>
      </w:r>
      <w:r>
        <w:rPr>
          <w:rFonts w:ascii="Calibri" w:hAnsi="Calibri"/>
          <w:b w:val="0"/>
          <w:color w:val="3A4A28"/>
          <w:sz w:val="20"/>
        </w:rPr>
        <w:t>Bitcoin price recovery improving mining margins while the AI build proceeds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Execution and financing risk on the AI build with D/E at 234.7% and quarterly GAAP losses of $240M [1]</w:t>
      </w:r>
    </w:p>
    <w:p>
      <w:pPr>
        <w:spacing w:before="40" w:after="40"/>
        <w:ind w:left="283"/>
      </w:pPr>
      <w:r>
        <w:rPr>
          <w:rFonts w:ascii="Calibri" w:hAnsi="Calibri"/>
          <w:b/>
          <w:color w:val="4A6B25"/>
          <w:sz w:val="20"/>
        </w:rPr>
        <w:t xml:space="preserve">2. </w:t>
      </w:r>
      <w:r>
        <w:rPr>
          <w:rFonts w:ascii="Calibri" w:hAnsi="Calibri"/>
          <w:b w:val="0"/>
          <w:color w:val="3A4A28"/>
          <w:sz w:val="20"/>
        </w:rPr>
        <w:t>Bitcoin price and network difficulty pressure: Q3 FY2026 revenue fell 30.5% YoY to $138.0M [1]</w:t>
      </w:r>
    </w:p>
    <w:p>
      <w:pPr>
        <w:spacing w:before="40" w:after="40"/>
        <w:ind w:left="283"/>
      </w:pPr>
      <w:r>
        <w:rPr>
          <w:rFonts w:ascii="Calibri" w:hAnsi="Calibri"/>
          <w:b/>
          <w:color w:val="4A6B25"/>
          <w:sz w:val="20"/>
        </w:rPr>
        <w:t xml:space="preserve">3. </w:t>
      </w:r>
      <w:r>
        <w:rPr>
          <w:rFonts w:ascii="Calibri" w:hAnsi="Calibri"/>
          <w:b w:val="0"/>
          <w:color w:val="3A4A28"/>
          <w:sz w:val="20"/>
        </w:rPr>
        <w:t>Tenant concentration: Sandersville dominates the contracted backlog, so a delay or counterparty issue would hit the thesis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the business is power-intensive compute infrastructure (bitcoin mining plus data-center hosting) that AI cannot substitute, and AI demand for powered land drives its pivot [1][2]. Risk lies in bitcoin price and halving economics, plus execution on the AI build, rather than AI disruption. AI Opportunity (0/1): the Sandersville lease is contracted but not yet reported as AI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CleanSpark Q3 FY2026 earnings release and 10-Q, SEC EDGAR / StockAnalysis / Yahoo Finance, August 2026</w:t>
      </w:r>
    </w:p>
    <w:p>
      <w:pPr>
        <w:spacing w:before="20" w:after="20"/>
        <w:ind w:left="170"/>
      </w:pPr>
      <w:r>
        <w:rPr>
          <w:rFonts w:ascii="Calibri" w:hAnsi="Calibri"/>
          <w:b/>
          <w:color w:val="4A6B25"/>
          <w:sz w:val="15"/>
        </w:rPr>
        <w:t xml:space="preserve">2. </w:t>
      </w:r>
      <w:r>
        <w:rPr>
          <w:rFonts w:ascii="Calibri" w:hAnsi="Calibri"/>
          <w:b w:val="0"/>
          <w:color w:val="3A4A28"/>
          <w:sz w:val="17"/>
        </w:rPr>
        <w:t>CleanSpark leadership and culture - Glassdoor, CleanSpark management team, AI Journal, 2026</w:t>
      </w:r>
    </w:p>
    <w:p>
      <w:pPr>
        <w:spacing w:before="20" w:after="20"/>
        <w:ind w:left="170"/>
      </w:pPr>
      <w:r>
        <w:rPr>
          <w:rFonts w:ascii="Calibri" w:hAnsi="Calibri"/>
          <w:b/>
          <w:color w:val="4A6B25"/>
          <w:sz w:val="15"/>
        </w:rPr>
        <w:t xml:space="preserve">3. </w:t>
      </w:r>
      <w:r>
        <w:rPr>
          <w:rFonts w:ascii="Calibri" w:hAnsi="Calibri"/>
          <w:b w:val="0"/>
          <w:color w:val="3A4A28"/>
          <w:sz w:val="17"/>
        </w:rPr>
        <w:t>CleanSpark ESG and Corporate Responsibility Report, Sustainalytics profile, 2023-2026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