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CLS</w:t>
      </w:r>
      <w:r>
        <w:rPr>
          <w:rFonts w:ascii="Calibri" w:hAnsi="Calibri"/>
          <w:b/>
          <w:color w:val="1A2010"/>
          <w:sz w:val="40"/>
        </w:rPr>
        <w:t xml:space="preserve">  Celestica Inc.</w:t>
      </w:r>
    </w:p>
    <w:p>
      <w:pPr>
        <w:spacing w:after="120"/>
      </w:pPr>
      <w:r>
        <w:rPr>
          <w:rFonts w:ascii="Calibri" w:hAnsi="Calibri"/>
          <w:b/>
          <w:color w:val="6E8450"/>
          <w:sz w:val="18"/>
        </w:rPr>
        <w:t>GROWTH SLEEVE · 2026-09-07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Electronic Components · NYSE · Canada</w:t>
      </w:r>
    </w:p>
    <w:p>
      <w:pPr>
        <w:spacing w:after="80"/>
      </w:pPr>
      <w:r>
        <w:rPr>
          <w:rFonts w:ascii="Calibri" w:hAnsi="Calibri"/>
          <w:b w:val="0"/>
          <w:color w:val="3A4A28"/>
          <w:sz w:val="20"/>
        </w:rPr>
        <w:t>Celestica is a Toronto-headquartered design, manufacturing, hardware platform and supply chain solutions provider. It operates through two segments: Connectivity &amp; Cloud Solutions (CCS), which designs and manufactures custom AI servers, rack-scale AI platforms (Helios with AMD), networking switches, and storage hardware for hyperscalers (81% of revenue), and Advanced Technology Solutions (ATS), serving aerospace &amp; defense, industrial, capital equipment, and HealthTech end markets. Q2 2026 revenue reached $4.70B (+62% YoY) with full-year guidance raised to $20.5B (+65% YoY) and adjusted EPS of $11.30 (+87% YoY). Market cap exceeds $54B.</w:t>
      </w:r>
    </w:p>
    <w:p>
      <w:r>
        <w:rPr>
          <w:rFonts w:ascii="Calibri" w:hAnsi="Calibri"/>
          <w:b/>
          <w:color w:val="6E8450"/>
          <w:sz w:val="18"/>
        </w:rPr>
        <w:t>30,000 Employees · https://www.celestica.com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Q2 2026 revenue of $4.70B (+62% YoY) with full-year guidance raised to $20.5B (+65%) and adjusted EPS of $11.30 (+87%), confirming an extraordinary multi-year transformation from commodity EMS to AI infrastructure leader [1]. CCS segment grew 84% YoY in Q2 2026, now accounting for 81% of total revenue, and the Helios rack-scale AI platform with AMD represents a proprietary product launch that moves Celestica beyond pure contract assembly. AI Deployment (2/2): Celestica IS AI infrastructure — the company designs and manufactures custom AI servers, 400G/800G networking switches, GPU networking solutions, liquid cooling systems, and rack-scale AI platforms that enable AI compute at scale for the world's largest hyperscalers [1]. Adjusted operating margin expanded to a record 8.2% (from 7.4% a year ago) as AI hardware mix shifts higher. Market Share (1/2): Celestica is a top-3 hyperscaler ODM/EMS partner globally competing against Foxconn, Quanta, and Wistron; the 84% CCS growth rate and $20.5B revenue guidance signal rapid share gains, though it is not yet the outright market leader [2]. Product Pipeline (1/2): The Helios platform with AMD provides specific pipeline visibility, and management guides for 2027 revenue and EPS growth to accelerate beyond 2026's 65%/87% rates, but detailed next-gen product announcements beyond the current platform are limited [1]. R&amp;D Intensity (1/1): Celestica has invested meaningfully in design and engineering capabilities to support its pivot from assembly to design-led manufacturing, with proprietary platform development (Helios) demonstrating R&amp;D intensity above the EMS industry average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Celestica's purpose to 'make a meaningful difference for customers, partners and communities' through advanced manufacturing is clear but not distinctive — the statement is interchangeable with other technology manufacturing peers and does not articulate a deeper vision of a better future beyond customer enablement [3]. Community Impact (1/2): Celestica holds SBTi-approved 1.5C science-based emissions targets (set 2020), maintains Responsible Business Alliance membership, and implemented 155 energy projects in 2024 avoiding 4,915 MT CO2e — demonstrating genuine sustainability commitment, though without distinctive community investment programs with specific dollar amounts cited [4]. Employee Retention (1/2): CEO Rob Mionis has served 11+ years (since August 2015), providing exceptional leadership continuity, and smooth executive succession planning (CCS leadership transition, Mionis moving to board chair) demonstrates organizational maturity [3]. Glassdoor rating of 3.6/5 is average; no specific employee tenure or voluntary turnover data available. Insider Buying (0/2): Net insider selling of $63M+ in recent months with no buying activity — consistent with executive diversification after the stock's 127% 52-week gain, but does not demonstrate insider conviction at current prices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Growth stock. D/E of 45% scores perfectly (1.0) against the 70% target with only $941.7M in debt [5]. ROE of 52.45% scores perfectly (1.0, 2x weight) reflecting exceptional capital efficiency [5]. Revenue growth is extraordinary: 65% YoY scores 1.0, and 5-year CAGR of ~30% scores 1.0 (2x weight). Forward PEG of ~0.61 scores 1.0 (2x weight), reflecting reasonable valuation relative to the 87% EPS growth rate. Forward P/E of 37.61 scores 0.56 (above the 20x target but well below the 60 floor), dragged up by the stock's 127% appreciation over the past year. Profit margin of 6.95% scores 0.35 — structurally lower for an EMS/ODM business model but expanding with record 8.2% adjusted operating margins [1]. Weighted sum: 8.91/10, rounding to 9. Liquidity comfortably passes: ~1.6M avg daily volume x $484 = ~$774M daily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Celestica under CEO Rob Mionis (11+ years) has executed a patient, decade-long transformation from low-margin contract manufacturing to high-value AI infrastructure design and manufacturing — exactly the kind of multi-year reinvention an infinite-game mindset enables. The CCS segment now dominates the business at 81% of revenue and grew 84% YoY in Q2 2026. However, the company's mission language remains generic and the growth is market-pulled by hyperscaler demand rather than driven by a deeply held cause.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Celestica's purpose of enabling critical data center infrastructure for AI, cloud, and hybrid cloud connects the company's work to the broader technological revolution, and the 11-year CEO tenure with consistent strategic direction demonstrates that this purpose shapes decisions [3]. The multi-year investment in CCS design capabilities ahead of the AI boom suggests purpose-driven strategy rather than reactive opportunism. However, the mission statement itself ('make a meaningful difference for customers, partners and communities') is not transformative — it describes what the company does rather than a vision of a future state worth building toward.</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Rob Mionis's 11-year tenure and smooth executive succession planning (CCS leadership transitions, Mionis moving to board chair) indicate organizational stability [3]. Consistent multi-quarter execution against rising guidance — now beating expectations with 62% revenue growth — indicates a well-functioning operating culture across 30,000+ employees. Glassdoor 3.6/5 with reviews noting collaborative culture and growth opportunities, though also flagging management challenges during rapid scaling. No specific trust metrics (employee tenure, voluntary turnover) available to support exceptional organizational trust.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Celestica competes against formidable rivals — Foxconn, Quanta, Wistron, Jabil, and Flex — and uses competitive pressure to sharpen capabilities rather than pursuing market share destruction [2]. The company's strategic language focuses on moving up the value chain through design capability (Helios platform) and customer intimacy rather than undercutting competitors on price. The AMD partnership for Helios demonstrates willingness to collaborate and learn from partners' strengths.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Celestica has fundamentally reinvented itself over the past decade — transforming from a low-margin commodity EMS company into a high-value AI infrastructure designer and manufacturer [1]. CCS hardware platform solutions now account for 81% of revenue (versus a historically balanced split with ATS), and the company's competitive positioning, customer relationships, margin profile, and growth trajectory look completely different from 2015. The Helios platform represents Celestica moving from 'build to print' to 'design and build,' a fundamental business model transformation driven by strategic investment ahead of the AI wave.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Rob Mionis invested in CCS design capabilities and hyperscaler relationships years before the AI infrastructure boom materialized, committing significant capex to expand AI hardware manufacturing capacity ahead of demand [1]. The decision to move beyond traditional contract manufacturing into proprietary platform design (Helios) represented a genuine strategic bet. Free cash flow guidance raised to $600M demonstrates strong execution [1]. However, the investment was substantially de-risked by strong customer pull from hyperscalers rather than a purely speculative bet, and no evidence of the company sacrificing profitable business lines for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Celestica at 37.6x forward earnings is a transformed company delivering extraordinary growth — Q2 2026 revenue of $4.70B (+62% YoY) with full-year guidance raised to $20.5B (+65%) and adjusted EPS of $11.30 (+87%) confirm Celestica as a primary beneficiary of the hyperscaler AI infrastructure buildout [1]. CCS segment surged 84% YoY to $3.8B, now comprising 81% of total revenue, driven by rack-scale AI platforms, GPU networking, and liquid cooling demand. Adjusted operating margin reached a record 8.2%, up from 7.4% a year ago, demonstrating operating leverage as the mix shifts toward higher-value design-led work. ROE of 52.45%, D/E of just 45%, and a forward PEG of ~0.61 indicate growth is both capital-efficient and reasonably priced relative to the earnings trajectory [5]. Free cash flow guidance raised to $600M, and management guides for 2027 growth to accelerate beyond 2026 rates, suggesting years of runway remain in the AI infrastructure cycle.</w:t>
      </w:r>
    </w:p>
    <w:p>
      <w:pPr>
        <w:spacing w:after="120"/>
      </w:pPr>
      <w:r>
        <w:rPr>
          <w:rFonts w:ascii="Calibri" w:hAnsi="Calibri"/>
          <w:b w:val="0"/>
          <w:color w:val="3A4A28"/>
          <w:sz w:val="20"/>
        </w:rPr>
        <w:t>The bear case centers on customer concentration, cycle risk, and valuation vulnerability. Celestica's CCS revenue is concentrated in a small number of hyperscaler customers, and any rationalization of AI capex spending — as briefly feared during the DeepSeek episode — could cause sharp revenue declines in an EMS business model with limited pricing power [2]. The stock has appreciated 127% over the past year to $484, pushing the trailing P/E to ~48x and forward P/E to 37.6x — premium multiples that leave limited margin of safety and require sustained 50%+ revenue growth to justify. Profit margins of 6.95% remain structurally lower than pure-play OEMs, constraining earnings leverage relative to revenue growth. Net insider selling of $63M+ in recent months signals management is diversifying rather than deploying personal capital at current prices [5]. If hyperscaler customers choose to insource AI hardware design — as some have done with custom silicon — Celestica's competitive position could erode, and the CEO transition (Mionis to board chair) introduces execution risk during the most critical growth phase.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2027 revenue and EPS growth guided to accelerate beyond 2026's 65%/87% rates as hyperscaler AI infrastructure spending continues to expand, with Celestica's Helios platform and 800G/1.6T networking solutions capturing increased wallet share [1]</w:t>
      </w:r>
    </w:p>
    <w:p>
      <w:pPr>
        <w:spacing w:before="40" w:after="40"/>
        <w:ind w:left="283"/>
      </w:pPr>
      <w:r>
        <w:rPr>
          <w:rFonts w:ascii="Calibri" w:hAnsi="Calibri"/>
          <w:b/>
          <w:color w:val="4A6B25"/>
          <w:sz w:val="20"/>
        </w:rPr>
        <w:t xml:space="preserve">2. </w:t>
      </w:r>
      <w:r>
        <w:rPr>
          <w:rFonts w:ascii="Calibri" w:hAnsi="Calibri"/>
          <w:b w:val="0"/>
          <w:color w:val="3A4A28"/>
          <w:sz w:val="20"/>
        </w:rPr>
        <w:t>Operating margin expansion from 7.4% to record 8.2% as product mix shifts toward higher-value design-led AI platforms and liquid cooling solutions, with further upside as proprietary content increases [1]</w:t>
      </w:r>
    </w:p>
    <w:p>
      <w:pPr>
        <w:spacing w:before="40" w:after="40"/>
        <w:ind w:left="283"/>
      </w:pPr>
      <w:r>
        <w:rPr>
          <w:rFonts w:ascii="Calibri" w:hAnsi="Calibri"/>
          <w:b/>
          <w:color w:val="4A6B25"/>
          <w:sz w:val="20"/>
        </w:rPr>
        <w:t xml:space="preserve">3. </w:t>
      </w:r>
      <w:r>
        <w:rPr>
          <w:rFonts w:ascii="Calibri" w:hAnsi="Calibri"/>
          <w:b w:val="0"/>
          <w:color w:val="3A4A28"/>
          <w:sz w:val="20"/>
        </w:rPr>
        <w:t>Free cash flow of $600M (raised guidance) enabling capital return and continued investment in next-generation AI hardware manufacturing capacity to support the multi-year hyperscaler buildout cycle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Hyperscaler customer concentration — a handful of large cloud providers account for the majority of CCS revenue, and any capex rationalization, spending pause, or insourcing decision could cause disproportionate revenue decline in an EMS model with limited pricing power [2]</w:t>
      </w:r>
    </w:p>
    <w:p>
      <w:pPr>
        <w:spacing w:before="40" w:after="40"/>
        <w:ind w:left="283"/>
      </w:pPr>
      <w:r>
        <w:rPr>
          <w:rFonts w:ascii="Calibri" w:hAnsi="Calibri"/>
          <w:b/>
          <w:color w:val="4A6B25"/>
          <w:sz w:val="20"/>
        </w:rPr>
        <w:t xml:space="preserve">2. </w:t>
      </w:r>
      <w:r>
        <w:rPr>
          <w:rFonts w:ascii="Calibri" w:hAnsi="Calibri"/>
          <w:b w:val="0"/>
          <w:color w:val="3A4A28"/>
          <w:sz w:val="20"/>
        </w:rPr>
        <w:t>AI infrastructure spending cycle risk — 65% revenue growth is tied to a secular buildout that could decelerate if AI model efficiency gains reduce compute requirements or if economic returns on AI investments disappoint enterprise customers [2]</w:t>
      </w:r>
    </w:p>
    <w:p>
      <w:pPr>
        <w:spacing w:before="40" w:after="40"/>
        <w:ind w:left="283"/>
      </w:pPr>
      <w:r>
        <w:rPr>
          <w:rFonts w:ascii="Calibri" w:hAnsi="Calibri"/>
          <w:b/>
          <w:color w:val="4A6B25"/>
          <w:sz w:val="20"/>
        </w:rPr>
        <w:t xml:space="preserve">3. </w:t>
      </w:r>
      <w:r>
        <w:rPr>
          <w:rFonts w:ascii="Calibri" w:hAnsi="Calibri"/>
          <w:b w:val="0"/>
          <w:color w:val="3A4A28"/>
          <w:sz w:val="20"/>
        </w:rPr>
        <w:t>Valuation compression risk with trailing P/E ~48x and forward P/E 37.6x after a 127% 52-week gain — the stock is priced for sustained hyper-growth, and any deceleration or margin disappointment could trigger significant multiple contraction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Celestica IS AI infrastructure — the company designs and manufactures the custom servers, rack-scale AI platforms (Helios), GPU networking, liquid cooling, and storage hardware that enable AI compute at hyperscale [1]. AI cannot displace Celestica because AI requires Celestica's products to exist; every dollar of incremental hyperscaler AI capex translates directly to demand for CCS hardware platforms. The 84% YoY CCS revenue growth in Q2 2026 demonstrates that AI spending directly increases Celestica's addressable market [1]. Physical-world manufacturing, complex thermal and power engineering, and deep customer integration create structural moats that AI enhances rather than threatens. AI Opportunity (1/1): CCS segment generated $3.8B+ in Q2 2026 revenue alone, directly from AI-driven infrastructure demand, with the $20.5B full-year 2026 guidance representing 65% growth driven almost entirely by AI/ML workload buildout for hyperscalers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Celestica Q2 2026 Earnings Release — Revenue $4.70B (+62% YoY), Adjusted EPS $2.54, Record 8.2% Adjusted Operating Margin, FY2026 Guidance Raised to $20.5B Revenue and $11.30 EPS, FCF Guidance $600M, July 2026</w:t>
      </w:r>
    </w:p>
    <w:p>
      <w:pPr>
        <w:spacing w:before="20" w:after="20"/>
        <w:ind w:left="170"/>
      </w:pPr>
      <w:r>
        <w:rPr>
          <w:rFonts w:ascii="Calibri" w:hAnsi="Calibri"/>
          <w:b/>
          <w:color w:val="4A6B25"/>
          <w:sz w:val="15"/>
        </w:rPr>
        <w:t xml:space="preserve">2. </w:t>
      </w:r>
      <w:r>
        <w:rPr>
          <w:rFonts w:ascii="Calibri" w:hAnsi="Calibri"/>
          <w:b w:val="0"/>
          <w:color w:val="3A4A28"/>
          <w:sz w:val="17"/>
        </w:rPr>
        <w:t>Celestica AI Strategy and Transformation — Helios Platform with AMD, CCS 81% of Revenue, 2027 Growth Acceleration Guidance — Seeking Alpha, Globe and Mail, July-August 2026</w:t>
      </w:r>
    </w:p>
    <w:p>
      <w:pPr>
        <w:spacing w:before="20" w:after="20"/>
        <w:ind w:left="170"/>
      </w:pPr>
      <w:r>
        <w:rPr>
          <w:rFonts w:ascii="Calibri" w:hAnsi="Calibri"/>
          <w:b/>
          <w:color w:val="4A6B25"/>
          <w:sz w:val="15"/>
        </w:rPr>
        <w:t xml:space="preserve">3. </w:t>
      </w:r>
      <w:r>
        <w:rPr>
          <w:rFonts w:ascii="Calibri" w:hAnsi="Calibri"/>
          <w:b w:val="0"/>
          <w:color w:val="3A4A28"/>
          <w:sz w:val="17"/>
        </w:rPr>
        <w:t>Celestica Leadership and Culture — CEO Rob Mionis 11-Year Tenure, Transition to Board Chair, Glassdoor 3.6/5 Rating — Glassdoor, corporate.celestica.com, 2026</w:t>
      </w:r>
    </w:p>
    <w:p>
      <w:pPr>
        <w:spacing w:before="20" w:after="20"/>
        <w:ind w:left="170"/>
      </w:pPr>
      <w:r>
        <w:rPr>
          <w:rFonts w:ascii="Calibri" w:hAnsi="Calibri"/>
          <w:b/>
          <w:color w:val="4A6B25"/>
          <w:sz w:val="15"/>
        </w:rPr>
        <w:t xml:space="preserve">4. </w:t>
      </w:r>
      <w:r>
        <w:rPr>
          <w:rFonts w:ascii="Calibri" w:hAnsi="Calibri"/>
          <w:b w:val="0"/>
          <w:color w:val="3A4A28"/>
          <w:sz w:val="17"/>
        </w:rPr>
        <w:t>Celestica ESG and Sustainability — SBTi 1.5C Targets, RBA Membership, 155 Energy Projects in 2024, CDP Climate Disclosure — celestica.com, 2023-2026</w:t>
      </w:r>
    </w:p>
    <w:p>
      <w:pPr>
        <w:spacing w:before="20" w:after="20"/>
        <w:ind w:left="170"/>
      </w:pPr>
      <w:r>
        <w:rPr>
          <w:rFonts w:ascii="Calibri" w:hAnsi="Calibri"/>
          <w:b/>
          <w:color w:val="4A6B25"/>
          <w:sz w:val="15"/>
        </w:rPr>
        <w:t xml:space="preserve">5. </w:t>
      </w:r>
      <w:r>
        <w:rPr>
          <w:rFonts w:ascii="Calibri" w:hAnsi="Calibri"/>
          <w:b w:val="0"/>
          <w:color w:val="3A4A28"/>
          <w:sz w:val="17"/>
        </w:rPr>
        <w:t>StockAnalysis, GuruFocus — CLS Key Statistics: Stock Price ~$484, Forward P/E 37.61, ROE 52.45%, D/E 45%, Profit Margin 6.95%, Insider Selling,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