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CMC</w:t>
      </w:r>
      <w:r>
        <w:rPr>
          <w:rFonts w:ascii="Calibri" w:hAnsi="Calibri"/>
          <w:b/>
          <w:color w:val="1A2010"/>
          <w:sz w:val="40"/>
        </w:rPr>
        <w:t xml:space="preserve">  Commercial Metals Company</w:t>
      </w:r>
    </w:p>
    <w:p>
      <w:pPr>
        <w:spacing w:after="120"/>
      </w:pPr>
      <w:r>
        <w:rPr>
          <w:rFonts w:ascii="Calibri" w:hAnsi="Calibri"/>
          <w:b/>
          <w:color w:val="6E8450"/>
          <w:sz w:val="18"/>
        </w:rPr>
        <w:t>GROWTH SLEEVE · 2026-09-24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Metal Fabrication · NYSE · United States</w:t>
      </w:r>
    </w:p>
    <w:p>
      <w:pPr>
        <w:spacing w:after="80"/>
      </w:pPr>
      <w:r>
        <w:rPr>
          <w:rFonts w:ascii="Calibri" w:hAnsi="Calibri"/>
          <w:b w:val="0"/>
          <w:color w:val="3A4A28"/>
          <w:sz w:val="20"/>
        </w:rPr>
        <w:t>Commercial Metals Company manufactures, recycles, and fabricates steel and metal products through its North America Steel Group, Europe Steel Group, and Emerging Businesses Group segments. CMC operates electric arc furnace steel mills (including next-generation micro mills with Q-One renewable energy technology), scrap metal recycling operations, and rebar fabrication facilities in the U.S., Poland, and China. The company reported Q3 FY2026 (ended May 2026) revenue of $2.48B (+22.9% YoY) with adjusted EPS of $1.73 and core EBITDA of $353.6M (+78.6% YoY), the highest in three years. Founded in 1915 and headquartered in Irving, Texas.</w:t>
      </w:r>
    </w:p>
    <w:p>
      <w:r>
        <w:rPr>
          <w:rFonts w:ascii="Calibri" w:hAnsi="Calibri"/>
          <w:b/>
          <w:color w:val="6E8450"/>
          <w:sz w:val="18"/>
        </w:rPr>
        <w:t>12,690 Employees · https://www.cmc.com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CMC has executed a significant technology-driven transformation through its TAG efficiency program and next-generation micro mill expansion — the third micro mill under construction in Mesa, Arizona features Q-One technology enabling direct connection to renewable energy sources like solar and wind, reducing emissions and energy costs [4]. The acquisition of precast concrete businesses contributed $52.9M in core EBITDA in Q3 FY2026, opening a new revenue stream [1]. AI Deployment (0/2): No AI-powered products or quantified AI-driven cost savings have been reported; the company lacks a Chief AI Officer, and organizational analysis suggests AI capabilities are at the consideration stage rather than deployment [3]. Market Share (1/2): CMC is a meaningful participant in the North American rebar and steel market but is not the category leader — Nucor and Steel Dynamics are larger and more diversified. CMC's North America Steel Group generated $1.79B in Q3 FY2026 revenue with 14.5% growth [1]. Product Pipeline (1/2): The Mesa, Arizona micro mill with Q-One technology has a specific construction timeline and represents a next-generation manufacturing capability, though revenue visibility for the facility is not yet quantified [4]. R&amp;D Intensity (0/1): Steel manufacturing companies typically invest below 1% of revenue in R&amp;D, focusing instead on process efficiency and capital investment; CMC's innovation comes through operational programs (TAG) rather than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CMC's mission centers on being a leading steelmaker and recycler, a purpose that is generic and interchangeable with any steel company — 'manufacturing, recycling, and fabricating steel products' describes what the company does, not why it exists or what future it envisions beyond commercial success. Community Impact (1/2): CMC established a Sustainability Leadership Council in 2020 to implement sustainability strategy, and the Q-One micro mill technology demonstrates environmental commitment through renewable energy integration [4]. However, no specific dollar amounts for community investment, charitable foundations, or employee volunteer programs were identified. Employee Retention (0/2): No specific employee retention data, average tenure, or voluntary turnover statistics were found for CMC's 12,690-person workforce. CEO Peter Matt joined in 2023 from outside the company, and leadership transitions are ongoing. Insider Buying (0/2): No evidence of meaningful net insider buying by CEO Peter Matt or other executives was identified in the most recent 12-month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CMC's standout metrics are the deeply discounted Forward P/E of 8.79x (well below 20x target, scoring 1.0) and strong revenue growth of 22.9% YoY, exceeding the 10% target [1][5]. D/E of 79.98% is modestly above the 70% target (score 0.96), and ROE of 13.79% falls just below the 15% target (score 0.92 with 2x weight). The primary drags are thin profit margin of 6.72% (typical for steel manufacturing but scoring just 0.34 against the 20% target) and the anomalous PEG ratio of 13.13 from yfinance — likely based on a 5-year trailing growth rate distorted by the FY2024-2025 steel downcycle rather than forward expectations — which scores 0 with 2x weight [5]. Estimated 5-year revenue CAGR of ~6% scores 0.73. Daily liquidity of ~$78.8M comfortably clears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CMC is a 111-year-old steelmaker that has survived through adaptability, but the company operates primarily as a financially-driven industrial manufacturer rather than a purpose-driven organization. The TAG transformation program and micro mill investments show operational ambition, but strategic decisions are framed around efficiency, margins, and market positioning rather than a broader cause. The recent CEO transition from Barbara R. Smith to Peter R. Matt (an outsider from the financial industry) reinforces a governance-and-efficiency orientation over mission-driven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CMC's purpose centers on steel manufacturing and recycling — essential industrial activities but not articulated as a cause that invites others to contribute to a better future. The sustainability initiatives (Q-One renewable energy technology, electric arc furnace recycling) connect to environmental purpose, but these are positioned as operational advantages rather than as the company's reason for existence [4]. Leadership language focuses on financial metrics, transformation programs, and shareholder returns rather than on a vision that transcends commercial success.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CMC's 12,690-person workforce operates across multiple continents with a functional leadership structure. CEO Peter Matt (since September 2023) brought a finance and strategy background from Constellium and Credit Suisse, suggesting a governance-oriented leadership style [3]. The TAG transformation program's emphasis on enterprise-level coordination (fewer autonomous division heads) may centralize decision-making at the expense of frontline empowerment. No specific data on employee engagement, psychological safety, or cultural practices was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CMC's competitive positioning focuses on market share, operational efficiency, and cost leadership versus Nucor and Steel Dynamics. No evidence was found of management commentary that references learning from rivals, acknowledges competitors' strengths, or frames competition as motivation for self-improvement rather than a battle to win market share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CMC has evolved significantly over its 111-year history — from a scrap metal trading company to a vertically integrated steel manufacturer with proprietary micro mill technology and a growing precast concrete business [1][4]. The acquisition of precast businesses and development of Q-One renewable energy integration demonstrate willingness to enter adjacent markets. However, these are incremental expansions of the core steel business rather than transformative pivots that fundamentally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CMC's investment in the TAG transformation program and third micro mill with Q-One technology during the FY2024-2025 steel downcycle demonstrates willingness to invest in long-term capability when near-term conditions were adverse [1][4]. The precast concrete acquisitions expanded the company's addressable market. However, these decisions are primarily financially motivated (efficiency, margin improvement) rather than driven by a larger purpose, and the $110M litigation verdict in the Pacific Steel Group case raises governance questions about commercial practices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CMC at 8.79x forward earnings offers deep cyclical value in a steel company executing a successful earnings recovery — Q3 FY2026 revenue surged 22.9% YoY to $2.48B with core EBITDA up 78.6% to $353.6M, the highest in three years, driven by stronger metal margins, TAG efficiency gains, and precast concrete acquisition contributions [1]. The 40-year consecutive dividend track record demonstrates capital return commitment (1.24% yield with 14% payout ratio), while the Q-One micro mill technology provides a structural cost advantage through direct renewable energy integration [4]. CMC's position as a key supplier of rebar and structural steel benefits from the U.S. infrastructure spending cycle (IIJA, CHIPS Act) and data center construction boom. Analysts forecast 16.5% earnings growth and 8% revenue growth per annum, suggesting the current cyclical trough is behind the company.</w:t>
      </w:r>
    </w:p>
    <w:p>
      <w:pPr>
        <w:spacing w:after="120"/>
      </w:pPr>
      <w:r>
        <w:rPr>
          <w:rFonts w:ascii="Calibri" w:hAnsi="Calibri"/>
          <w:b w:val="0"/>
          <w:color w:val="3A4A28"/>
          <w:sz w:val="20"/>
        </w:rPr>
        <w:t>The bear case centers on steel cyclicality, thin margins, and limited growth quality. CMC's 6.72% profit margin is inherently thin for a commodity steel manufacturer, and the 22.9% revenue growth in Q3 FY2026 reflects a cyclical recovery from the FY2024-2025 trough rather than structural organic growth — the estimated 5-year revenue CAGR of ~6% reflects the boom-bust pattern of steel markets [5]. The $110M litigation verdict in the Pacific Steel Group case (alleging exclusionary contract practices) creates legal and reputational overhang [4]. ROE of 13.79% falls below the 15% target, and the anomalous PEG ratio of 13.13 (likely distorted by the downcycle) suggests the market questions sustainable growth rates. The 1.24% dividend yield is below the 2% Dividend sleeve threshold, and the cyclical nature of earnings makes dividend growth unreliable. New CEO Peter Matt's finance background may optimize capital allocation but lacks the operational depth of predecessor Barbara R. Smith.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Q-One micro mill technology at the Mesa, Arizona facility enabling direct renewable energy integration for structural cost advantages and sustainability credentials — providing both margin expansion and customer differentiation as construction buyers prioritize low-carbon steel [4]</w:t>
      </w:r>
    </w:p>
    <w:p>
      <w:pPr>
        <w:spacing w:before="40" w:after="40"/>
        <w:ind w:left="283"/>
      </w:pPr>
      <w:r>
        <w:rPr>
          <w:rFonts w:ascii="Calibri" w:hAnsi="Calibri"/>
          <w:b/>
          <w:color w:val="4A6B25"/>
          <w:sz w:val="20"/>
        </w:rPr>
        <w:t xml:space="preserve">2. </w:t>
      </w:r>
      <w:r>
        <w:rPr>
          <w:rFonts w:ascii="Calibri" w:hAnsi="Calibri"/>
          <w:b w:val="0"/>
          <w:color w:val="3A4A28"/>
          <w:sz w:val="20"/>
        </w:rPr>
        <w:t>U.S. infrastructure spending cycle (IIJA, CHIPS Act, IRA) driving sustained demand for rebar and structural steel, with data center construction creating incremental demand for steel fabrication at premium margins [1]</w:t>
      </w:r>
    </w:p>
    <w:p>
      <w:pPr>
        <w:spacing w:before="40" w:after="40"/>
        <w:ind w:left="283"/>
      </w:pPr>
      <w:r>
        <w:rPr>
          <w:rFonts w:ascii="Calibri" w:hAnsi="Calibri"/>
          <w:b/>
          <w:color w:val="4A6B25"/>
          <w:sz w:val="20"/>
        </w:rPr>
        <w:t xml:space="preserve">3. </w:t>
      </w:r>
      <w:r>
        <w:rPr>
          <w:rFonts w:ascii="Calibri" w:hAnsi="Calibri"/>
          <w:b w:val="0"/>
          <w:color w:val="3A4A28"/>
          <w:sz w:val="20"/>
        </w:rPr>
        <w:t>TAG transformation program delivering ongoing efficiency gains — core EBITDA margins expanded as the program reduces costs across CMC's manufacturing footprint while precast concrete acquisitions diversify the revenue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Steel price cyclicality — the 22.9% revenue growth reflects cyclical recovery, not structural acceleration, and a downturn in construction activity or steel prices could compress margins from the current 6.72% toward breakeven, as seen in FY2024-2025 [1][5]</w:t>
      </w:r>
    </w:p>
    <w:p>
      <w:pPr>
        <w:spacing w:before="40" w:after="40"/>
        <w:ind w:left="283"/>
      </w:pPr>
      <w:r>
        <w:rPr>
          <w:rFonts w:ascii="Calibri" w:hAnsi="Calibri"/>
          <w:b/>
          <w:color w:val="4A6B25"/>
          <w:sz w:val="20"/>
        </w:rPr>
        <w:t xml:space="preserve">2. </w:t>
      </w:r>
      <w:r>
        <w:rPr>
          <w:rFonts w:ascii="Calibri" w:hAnsi="Calibri"/>
          <w:b w:val="0"/>
          <w:color w:val="3A4A28"/>
          <w:sz w:val="20"/>
        </w:rPr>
        <w:t>$110M litigation verdict in Pacific Steel Group v. Commercial Metals Company (alleging exclusionary contract practices) creates legal expense, potential damages, and reputational risk that could affect customer relationships [4]</w:t>
      </w:r>
    </w:p>
    <w:p>
      <w:pPr>
        <w:spacing w:before="40" w:after="40"/>
        <w:ind w:left="283"/>
      </w:pPr>
      <w:r>
        <w:rPr>
          <w:rFonts w:ascii="Calibri" w:hAnsi="Calibri"/>
          <w:b/>
          <w:color w:val="4A6B25"/>
          <w:sz w:val="20"/>
        </w:rPr>
        <w:t xml:space="preserve">3. </w:t>
      </w:r>
      <w:r>
        <w:rPr>
          <w:rFonts w:ascii="Calibri" w:hAnsi="Calibri"/>
          <w:b w:val="0"/>
          <w:color w:val="3A4A28"/>
          <w:sz w:val="20"/>
        </w:rPr>
        <w:t>Thin profit margins of 6.72% leave minimal buffer for input cost increases (scrap metal, energy, labor) — in a commodity business without pricing power, even small margin compression disproportionately impacts earnings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Steel manufacturing, scrap metal recycling, and rebar fabrication are physical-world industrial operations that AI structurally cannot displace — melting scrap in electric arc furnaces, rolling steel billets, and fabricating rebar for construction projects require massive physical infrastructure, skilled labor, and complex logistics [1]. CMC's customers (construction contractors, infrastructure developers) need physical steel delivered to physical job sites. AI may improve manufacturing efficiency through predictive maintenance and process optimization, but it increases demand for CMC's products through data center construction (requiring massive amounts of rebar and structural steel) and AI-driven infrastructure investment. AI Opportunity (0/1): No AI-related revenue products or services have been identified; CMC's innovation focus is on manufacturing technology (Q-One micro mills) rather than AI-powered offerings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Commercial Metals Q3 FY2026 Earnings Release — Revenue $2.48B (+22.9%), Adjusted EPS $1.73, Core EBITDA $353.6M (+78.6%), Precast Contribution $52.9M, June 2026</w:t>
      </w:r>
    </w:p>
    <w:p>
      <w:pPr>
        <w:spacing w:before="20" w:after="20"/>
        <w:ind w:left="170"/>
      </w:pPr>
      <w:r>
        <w:rPr>
          <w:rFonts w:ascii="Calibri" w:hAnsi="Calibri"/>
          <w:b/>
          <w:color w:val="4A6B25"/>
          <w:sz w:val="15"/>
        </w:rPr>
        <w:t xml:space="preserve">2. </w:t>
      </w:r>
      <w:r>
        <w:rPr>
          <w:rFonts w:ascii="Calibri" w:hAnsi="Calibri"/>
          <w:b w:val="0"/>
          <w:color w:val="3A4A28"/>
          <w:sz w:val="17"/>
        </w:rPr>
        <w:t>Commercial Metals Q1 FY2026 Earnings Release — Net Earnings $177.3M ($1.58/sh), Core EBITDA +52% YoY, January 2026</w:t>
      </w:r>
    </w:p>
    <w:p>
      <w:pPr>
        <w:spacing w:before="20" w:after="20"/>
        <w:ind w:left="170"/>
      </w:pPr>
      <w:r>
        <w:rPr>
          <w:rFonts w:ascii="Calibri" w:hAnsi="Calibri"/>
          <w:b/>
          <w:color w:val="4A6B25"/>
          <w:sz w:val="15"/>
        </w:rPr>
        <w:t xml:space="preserve">3. </w:t>
      </w:r>
      <w:r>
        <w:rPr>
          <w:rFonts w:ascii="Calibri" w:hAnsi="Calibri"/>
          <w:b w:val="0"/>
          <w:color w:val="3A4A28"/>
          <w:sz w:val="17"/>
        </w:rPr>
        <w:t>CMC Leadership — CEO Peter R. Matt (Since Sept 2023), TAG Transformation Program, Organizational Structure — LevelFields, Comparably, 2023-2026</w:t>
      </w:r>
    </w:p>
    <w:p>
      <w:pPr>
        <w:spacing w:before="20" w:after="20"/>
        <w:ind w:left="170"/>
      </w:pPr>
      <w:r>
        <w:rPr>
          <w:rFonts w:ascii="Calibri" w:hAnsi="Calibri"/>
          <w:b/>
          <w:color w:val="4A6B25"/>
          <w:sz w:val="15"/>
        </w:rPr>
        <w:t xml:space="preserve">4. </w:t>
      </w:r>
      <w:r>
        <w:rPr>
          <w:rFonts w:ascii="Calibri" w:hAnsi="Calibri"/>
          <w:b w:val="0"/>
          <w:color w:val="3A4A28"/>
          <w:sz w:val="17"/>
        </w:rPr>
        <w:t>CMC ESG and Litigation — Q-One Renewable Energy Micro Mill, Sustainability Leadership Council, $110M Pacific Steel Group Verdict — PRNewswire, Sustainalytics,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CMC Key Statistics: Forward P/E 8.79x, ROE 13.79%, Profit Margin 6.72%, D/E 79.98%, Dividend Yield 1.24%, PEG 13.13, Stock Price $64.14,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