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CNC</w:t>
      </w:r>
      <w:r>
        <w:rPr>
          <w:rFonts w:ascii="Calibri" w:hAnsi="Calibri"/>
          <w:b/>
          <w:color w:val="1A2010"/>
          <w:sz w:val="40"/>
        </w:rPr>
        <w:t xml:space="preserve">  Centene Corporation</w:t>
      </w:r>
    </w:p>
    <w:p>
      <w:pPr>
        <w:spacing w:after="120"/>
      </w:pPr>
      <w:r>
        <w:rPr>
          <w:rFonts w:ascii="Calibri" w:hAnsi="Calibri"/>
          <w:b/>
          <w:color w:val="6E8450"/>
          <w:sz w:val="18"/>
        </w:rPr>
        <w:t>GROWTH SLEEVE · 2026-10-16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NYSE · United States</w:t>
      </w:r>
    </w:p>
    <w:p>
      <w:pPr>
        <w:spacing w:after="80"/>
      </w:pPr>
      <w:r>
        <w:rPr>
          <w:rFonts w:ascii="Calibri" w:hAnsi="Calibri"/>
          <w:b w:val="0"/>
          <w:color w:val="3A4A28"/>
          <w:sz w:val="20"/>
        </w:rPr>
        <w:t>Centene is the largest Medicaid managed care organization in the United States, providing healthcare plans to government-sponsored and commercially insured individuals. The company serves 25.9 million members across Medicaid (12.1M), Medicare PDP (8.8M), and ACA Marketplace (3.5M) segments. Q2 2026 revenue reached $53.6B (+10% YoY) with adjusted EPS of $2.51, and management raised full-year 2026 guidance to $193.5B-$197.5B revenue with adjusted EPS above $4.80. Led by CEO Sarah London since March 2022, the company recently appointed former Fannie Mae CIO Bradley Bolivar to lead its AI and digital transformation.</w:t>
      </w:r>
    </w:p>
    <w:p>
      <w:r>
        <w:rPr>
          <w:rFonts w:ascii="Calibri" w:hAnsi="Calibri"/>
          <w:b/>
          <w:color w:val="6E8450"/>
          <w:sz w:val="18"/>
        </w:rPr>
        <w:t>72,000 Employees · https://www.centene.com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Centene has grown primarily through contract wins and membership expansion in government-sponsored healthcare, not product innovation — this is a program administrator, not a product innovator [1]. The company navigated Medicaid redetermination membership losses while simultaneously raising full-year guidance, demonstrating operational execution. AI Deployment (1/2): Centene appointed Bradley Bolivar as CIO (effective August 2026), recruited from Fannie Mae specifically for his AI and automation expertise, signaling serious investment in AI-driven healthcare administration [2]. However, no quantified AI revenue or cost savings have been reported yet. Market Share (2/2): Centene is the largest Medicaid managed care company in the United States with 12.1 million Medicaid members, and one of the largest Medicare PDP participants with 8.8 million members — clear category leader in government-sponsored healthcare plans [1][3]. Product Pipeline (0/2): No specific next-generation healthcare products or services announced with timelines; the company's growth is driven by contract wins and membership enrollment rather than product launches. R&amp;D Intensity (0/1): Healthcare plans companies invest minimally in R&amp;D relative to revenue — Centene's primary investments are in IT infrastructure and administrative capabilities, which are below technology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Centene articulates its purpose as 'transforming the health of the community, one person at a time' through its ESHG (Environmental, Social, Health, Governance) framework [4]. This is clear, connects the business to serving vulnerable populations, and differentiates from peers through its explicit community health focus. However, the company's $939M+ in Medicaid overbilling settlements across 17+ states undermines the credibility of this mission. Community Impact (1/2): As the largest Medicaid managed care organization, community health service is inherent to the business model. Centene's ESHG report describes community investment programs organized around environmental resilience, serving communities, and powering better health [4]. Employee Retention (1/2): Glassdoor rating of approximately 3.7/5 with 72% CEO approval suggests average employee satisfaction for the industry [2]. Some reviews describe fear-based management and poor communication, while others praise CEO London's listening and clear vision. Average for a large healthcare organization. Insider Buying (0/2): No evidence of meaningful net insider buying by CEO Sarah London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71.1% is marginally above the 70% target, scoring 0.995 (1x weight) [1]. ROE of -20.4% is below the 0% floor, scoring 0.0 (2x weight) — likely reflecting large GAAP charges that may not represent ongoing operating performance given Q2 2026 profit of $1.1B [3]. Revenue growth of 4.6% (trailing) scores 0.82 (1x weight), though Q1 2026 showed 19% growth and Q2 showed 10% growth [1][3]. Forward P/E of 13.18 is well below the 20 target, scoring 1.0 (1x weight). Profit margin of -2.8% (trailing GAAP) scores 0.0 (1x weight), also distorted by non-recurring charges given the $1.1B Q2 profit [3]. Weighted sum: (1x0.995)+(2x0.0)+(1x0.82)+(1x1.0)+(1x0.0) = 2.815, max weight 6, Infrastructure = round(2.815/6 x 10) = 5. Daily dollar volume of $325.7M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Centene displays predominantly finite game behavior despite its community health mission. The company's $939M+ in Medicaid pharmacy overbilling settlements across 17+ states reveals a systemic pattern of prioritizing billing optimization over ethical healthcare delivery — a fundamental contradiction of infinite game principles. CEO Sarah London has stabilized the organization since 2022 and raised financial guidance through strong operational execution, but the competitive language remains focused on membership numbers, medical loss ratios, and earnings beats. The company has shown existential flexibility in diversifying from Medicaid into Medicare and ACA Marketplace, but the Just Cause is undermined by the settlement record.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Centene's stated purpose of 'transforming the health of the community, one person at a time' is specific, connects the business to serving vulnerable populations, and differentiates from peers [4]. However, the $939M+ in Medicaid overbilling settlements across 17+ states — with allegations of inflated dispensing fees, double billing, and phantom claims — fundamentally undermines the credibility of this cause [5]. A company genuinely committed to community health transformation would not systematically overbill the programs that serve its stated beneficiaries. The cause exists but is contradicted by actions.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3.7/5 with 72% CEO approval represents adequate organizational trust for a large healthcare enterprise [2]. CEO Sarah London has provided stable leadership since March 2022, and the CIO succession (Bolivar replacing retiring LeClaire) was orderly. Some employee reviews describe fear-based management and poor communication, which conflicts with Sinek's Circle of Safety ideal, while others praise London's leadership style. Average for a 72,000-employee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Centene's competitive positioning is framed in finite terms — membership numbers, contract wins, and market share in Medicaid. The company's language focuses on being the 'largest Medicaid managed care organization' rather than learning from competitors like UnitedHealth Group or Humana [1]. No management commentary was found referencing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Centene has meaningfully diversified from a primarily Medicaid-focused insurer to a multi-segment operator across Medicaid (12.1M members), Medicare PDP (8.8M members), and ACA Marketplace (3.5M members) [1][3]. This strategic evolution demonstrates adaptability as Medicaid membership declines 8-9% from redeterminations. However, the diversification is incremental — all segments remain government-sponsored or government-adjacent healthcare plans — rather than a transformative business model pivot.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$939M+ in Medicaid pharmacy overbilling settlements across 17+ states represents the opposite of courageous leadership — it suggests a systematic pattern of optimizing billing practices at the expense of the populations Centene claims to serve [5]. Ohio froze Centene's $20B managed care contract during its investigation. While Centene denied wrongdoing in each settlement, the scale and breadth (17+ states) indicate institutional behavior rather than isolated incidents. No evidence of leadership making costly decisions that prioritized long-term mission over short-term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Centene at $70.51 with a $34.8B market cap is the nation's largest Medicaid managed care organization executing a strong earnings recovery — Q2 2026 revenue reached $53.6B (+10% YoY) with $1.1B profit and adjusted EPS of $2.51, management raised full-year 2026 guidance to $193.5B-$197.5B revenue with adjusted EPS above $4.80, and the Medicaid medical loss ratio improved to 93.9% [1][3]. At 13.18x forward earnings, the stock trades at a significant discount to healthcare plan peers, reflecting concerns about Medicaid membership declines (expected -8% to -9% in 2026) that may be overly punitive given the company's diversification into Medicare PDP (8.8M members) and ACA Marketplace. The appointment of an AI-focused CIO from Fannie Mae signals commitment to operational modernization [2].</w:t>
      </w:r>
    </w:p>
    <w:p>
      <w:pPr>
        <w:spacing w:after="120"/>
      </w:pPr>
      <w:r>
        <w:rPr>
          <w:rFonts w:ascii="Calibri" w:hAnsi="Calibri"/>
          <w:b w:val="0"/>
          <w:color w:val="3A4A28"/>
          <w:sz w:val="20"/>
        </w:rPr>
        <w:t>The bear case centers on structural membership headwinds and governance concerns. Medicaid membership is declining faster than expected (-8% to -9% vs prior -6% guidance), and ACA Marketplace enrollment fell to 3.5M from 5.9M a year earlier, meaning total membership dropped 7.6% YoY to 25.9M [3]. The trailing GAAP profit margin of -2.8% and ROE of -20.4% indicate significant charges that distort reported profitability. More fundamentally, the $939M+ in Medicaid pharmacy overbilling settlements across 17+ states — the largest being $215M with California — raises serious governance questions about whether Centene's billing practices reflect systemic issues rather than isolated errors [5]. Regulatory scrutiny of managed care organizations continues to intensify, and the company's heavy dependence on government-sponsored programs (Medicaid, Medicare, ACA) exposes it to policy changes, rate adequacy decisions, and political risk from both parties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recovery and guidance raises — adjusted EPS guidance above $4.80 (raised from $3.40) implies significant margin improvement as medical loss ratios normalize and membership stabilizes [1][3]</w:t>
      </w:r>
    </w:p>
    <w:p>
      <w:pPr>
        <w:spacing w:before="40" w:after="40"/>
        <w:ind w:left="283"/>
      </w:pPr>
      <w:r>
        <w:rPr>
          <w:rFonts w:ascii="Calibri" w:hAnsi="Calibri"/>
          <w:b/>
          <w:color w:val="4A6B25"/>
          <w:sz w:val="20"/>
        </w:rPr>
        <w:t xml:space="preserve">2. </w:t>
      </w:r>
      <w:r>
        <w:rPr>
          <w:rFonts w:ascii="Calibri" w:hAnsi="Calibri"/>
          <w:b w:val="0"/>
          <w:color w:val="3A4A28"/>
          <w:sz w:val="20"/>
        </w:rPr>
        <w:t>AI and digital transformation under new CIO Bradley Bolivar — AI-driven claims automation and care management optimization could drive material cost savings across the company's 25.9M-member base [2]</w:t>
      </w:r>
    </w:p>
    <w:p>
      <w:pPr>
        <w:spacing w:before="40" w:after="40"/>
        <w:ind w:left="283"/>
      </w:pPr>
      <w:r>
        <w:rPr>
          <w:rFonts w:ascii="Calibri" w:hAnsi="Calibri"/>
          <w:b/>
          <w:color w:val="4A6B25"/>
          <w:sz w:val="20"/>
        </w:rPr>
        <w:t xml:space="preserve">3. </w:t>
      </w:r>
      <w:r>
        <w:rPr>
          <w:rFonts w:ascii="Calibri" w:hAnsi="Calibri"/>
          <w:b w:val="0"/>
          <w:color w:val="3A4A28"/>
          <w:sz w:val="20"/>
        </w:rPr>
        <w:t>Medicare PDP membership growth to 8.8M members diversifies revenue beyond declining Medicaid, with Medicare Advantage expansion offering additional growth runway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Medicaid membership decline — full-year 2026 expected -8% to -9% (vs prior -6%), driven by state redeterminations and eligibility verifications that could continue removing members from rolls [3]</w:t>
      </w:r>
    </w:p>
    <w:p>
      <w:pPr>
        <w:spacing w:before="40" w:after="40"/>
        <w:ind w:left="283"/>
      </w:pPr>
      <w:r>
        <w:rPr>
          <w:rFonts w:ascii="Calibri" w:hAnsi="Calibri"/>
          <w:b/>
          <w:color w:val="4A6B25"/>
          <w:sz w:val="20"/>
        </w:rPr>
        <w:t xml:space="preserve">2. </w:t>
      </w:r>
      <w:r>
        <w:rPr>
          <w:rFonts w:ascii="Calibri" w:hAnsi="Calibri"/>
          <w:b w:val="0"/>
          <w:color w:val="3A4A28"/>
          <w:sz w:val="20"/>
        </w:rPr>
        <w:t>Governance and litigation overhang — $939M+ in Medicaid pharmacy overbilling settlements across 17+ states, with additional state investigations potentially pending, creates ongoing legal liability and reputational risk [5]</w:t>
      </w:r>
    </w:p>
    <w:p>
      <w:pPr>
        <w:spacing w:before="40" w:after="40"/>
        <w:ind w:left="283"/>
      </w:pPr>
      <w:r>
        <w:rPr>
          <w:rFonts w:ascii="Calibri" w:hAnsi="Calibri"/>
          <w:b/>
          <w:color w:val="4A6B25"/>
          <w:sz w:val="20"/>
        </w:rPr>
        <w:t xml:space="preserve">3. </w:t>
      </w:r>
      <w:r>
        <w:rPr>
          <w:rFonts w:ascii="Calibri" w:hAnsi="Calibri"/>
          <w:b w:val="0"/>
          <w:color w:val="3A4A28"/>
          <w:sz w:val="20"/>
        </w:rPr>
        <w:t>Government program dependence — virtually all revenue derives from Medicaid, Medicare, and ACA programs subject to political risk, rate adequacy decisions, and regulatory changes that Centene cannot control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Managed care administration is deeply regulated by state and federal agencies, creating substantial barriers to AI-driven disruption — Medicaid contracts require licensed entities with specific compliance infrastructure, provider network relationships, and regulatory expertise that AI startups cannot replicate [1][3]. Member enrollment, claims processing, and care management involve complex multi-stakeholder interactions governed by CMS and state Medicaid agencies. However, AI-powered claims automation and care management optimization tools could improve competitors' efficiency, and AI-enabled primary care or care navigation startups could eventually disintermediate traditional managed care organizations. Centene's appointment of Fannie Mae's AI-focused CIO signals awareness of this competitive dynamic [2]. AI Opportunity (0/1): No quantified AI revenue; the company is investing in AI capabilities through the new CIO appointment but has not yet reported AI-driven revenue or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Centene Q1 2026 Results — Revenue ~$194.8B annualized pace, EPS $3.37 beating $2.15 estimate (+56%), revenue up 19% YoY, syndicated financial reports, May 2026</w:t>
      </w:r>
    </w:p>
    <w:p>
      <w:pPr>
        <w:spacing w:before="20" w:after="20"/>
        <w:ind w:left="170"/>
      </w:pPr>
      <w:r>
        <w:rPr>
          <w:rFonts w:ascii="Calibri" w:hAnsi="Calibri"/>
          <w:b/>
          <w:color w:val="4A6B25"/>
          <w:sz w:val="15"/>
        </w:rPr>
        <w:t xml:space="preserve">2. </w:t>
      </w:r>
      <w:r>
        <w:rPr>
          <w:rFonts w:ascii="Calibri" w:hAnsi="Calibri"/>
          <w:b w:val="0"/>
          <w:color w:val="3A4A28"/>
          <w:sz w:val="17"/>
        </w:rPr>
        <w:t>Centene Leadership and AI Strategy — CEO Sarah London (since March 2022), CIO Bradley Bolivar appointed from Fannie Mae for AI transformation, Glassdoor 3.7/5, Beckers/Pulse2/MarketBeat, 2026</w:t>
      </w:r>
    </w:p>
    <w:p>
      <w:pPr>
        <w:spacing w:before="20" w:after="20"/>
        <w:ind w:left="170"/>
      </w:pPr>
      <w:r>
        <w:rPr>
          <w:rFonts w:ascii="Calibri" w:hAnsi="Calibri"/>
          <w:b/>
          <w:color w:val="4A6B25"/>
          <w:sz w:val="15"/>
        </w:rPr>
        <w:t xml:space="preserve">3. </w:t>
      </w:r>
      <w:r>
        <w:rPr>
          <w:rFonts w:ascii="Calibri" w:hAnsi="Calibri"/>
          <w:b w:val="0"/>
          <w:color w:val="3A4A28"/>
          <w:sz w:val="17"/>
        </w:rPr>
        <w:t>Centene Q2 2026 Results — Revenue $53.6B (+10% YoY), $1.1B Profit, Adjusted EPS $2.51, Full-Year Guidance $193.5B-$197.5B, Medicaid MLR 93.9%, Barchart/Beckers/FierceHealthcare, July 2026</w:t>
      </w:r>
    </w:p>
    <w:p>
      <w:pPr>
        <w:spacing w:before="20" w:after="20"/>
        <w:ind w:left="170"/>
      </w:pPr>
      <w:r>
        <w:rPr>
          <w:rFonts w:ascii="Calibri" w:hAnsi="Calibri"/>
          <w:b/>
          <w:color w:val="4A6B25"/>
          <w:sz w:val="15"/>
        </w:rPr>
        <w:t xml:space="preserve">4. </w:t>
      </w:r>
      <w:r>
        <w:rPr>
          <w:rFonts w:ascii="Calibri" w:hAnsi="Calibri"/>
          <w:b w:val="0"/>
          <w:color w:val="3A4A28"/>
          <w:sz w:val="17"/>
        </w:rPr>
        <w:t>Centene ESHG Framework — 'Transforming the health of the community, one person at a time,' environmental resilience and community health pillars, Centene.com/Sevva, 2022-2026</w:t>
      </w:r>
    </w:p>
    <w:p>
      <w:pPr>
        <w:spacing w:before="20" w:after="20"/>
        <w:ind w:left="170"/>
      </w:pPr>
      <w:r>
        <w:rPr>
          <w:rFonts w:ascii="Calibri" w:hAnsi="Calibri"/>
          <w:b/>
          <w:color w:val="4A6B25"/>
          <w:sz w:val="15"/>
        </w:rPr>
        <w:t xml:space="preserve">5. </w:t>
      </w:r>
      <w:r>
        <w:rPr>
          <w:rFonts w:ascii="Calibri" w:hAnsi="Calibri"/>
          <w:b w:val="0"/>
          <w:color w:val="3A4A28"/>
          <w:sz w:val="17"/>
        </w:rPr>
        <w:t>Centene Medicaid Overbilling Settlements — $939M+ across 17+ states including $215M California, $88.3M Ohio, $66.5M Indiana; allegations of inflated dispensing fees and double billing, KFF Health News/WCBE/State AG Reports, 2021-2024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