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CNDT</w:t>
      </w:r>
      <w:r>
        <w:rPr>
          <w:rFonts w:ascii="Calibri" w:hAnsi="Calibri"/>
          <w:b/>
          <w:color w:val="1A2010"/>
          <w:sz w:val="40"/>
        </w:rPr>
        <w:t xml:space="preserve">  Conduent Incorporated</w:t>
      </w:r>
    </w:p>
    <w:p>
      <w:pPr>
        <w:spacing w:after="120"/>
      </w:pPr>
      <w:r>
        <w:rPr>
          <w:rFonts w:ascii="Calibri" w:hAnsi="Calibri"/>
          <w:b/>
          <w:color w:val="6E8450"/>
          <w:sz w:val="18"/>
        </w:rPr>
        <w:t>GROWTH SLEEVE · 2026-09-18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Conduent Incorporated provides business process solutions and digital interaction services to government, healthcare, transportation, and commercial clients worldwide. Spun off from Xerox Holdings in 2017, the company operates through Government Services (tolling, benefits administration, payment services), Transportation (traffic management, transit fare collection, road usage charging), and Commercial Industries (business process outsourcing, customer experience management). Revenue has declined for six consecutive years from $4.16B (FY2020) to FY2026 guidance of $2.15-2.25B. CEO Cliff Skelton leads the turnaround effort. Headquartered in Florham Park, New Jersey.</w:t>
      </w:r>
    </w:p>
    <w:p>
      <w:r>
        <w:rPr>
          <w:rFonts w:ascii="Calibri" w:hAnsi="Calibri"/>
          <w:b/>
          <w:color w:val="6E8450"/>
          <w:sz w:val="18"/>
        </w:rPr>
        <w:t>46,000 Employees · https://www.conduent.com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Revenue has contracted for six consecutive years from $4.16B (FY2020) to a FY2026 guidance midpoint of $2.2B — a 47% cumulative decline reflecting structural market share loss to larger BPO competitors and enterprise AI adoption rather than product innovation [1][2]. No meaningful product launches or business model transformations in the last five years. AI Deployment (1/2): Conduent launched an AI Experience Center at Florham Park in January 2026 showcasing GenAI solutions for document processing, customer experience, and fraud mitigation, and management cites AI and cost actions as drivers of margin improvement [1]. However, no quantified AI revenue or specific AI-driven cost savings have been disclosed. Market Share (0/2): Mid-tier BPO provider competing against Accenture, Cognizant, and Infosys without meaningful category leadership; Commercial segment declined 10.2% YoY in Q1 2026 [1]. Product Pipeline (1/2): New business pipeline expanded to $3.5B, up 10% YoY, with Government pipeline showing particular strength and in-year 2026 pipeline nearly doubled, indicating some commercial momentum in AI-resistant service lines [1][2]. R&amp;D Intensity (0/1): Minimal R&amp;D investment as a services company; no evidence of above-average technology spending relative to BPO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Conduent's stated purpose centers on delivering 'mission-critical solutions and exceptional experiences,' which is generic and interchangeable with any BPO competitor — it does not articulate a deeper purpose beyond operational execution. Community Impact (0/2): Conduent formed a Corporate Social Responsibility and Public Policy Committee in 2021 and an ESG Steering Committee, but no distinctive charitable programs, foundation activity, or measurable community investment was identified [3]. Employee Retention (0/2): Glassdoor data shows mixed culture — some praise for open communication and teamwork, but compensation rated 2.7/5 and only 46% of employees would recommend Conduent [4]. Employee reviews cite lack of career growth and disorganization. Insider Buying (2/2): Meaningful net insider buying — CEO Harsha Agadi purchased 100,000 shares at $2.81 in June 2026, with 4 insider buying transactions totaling 447,099 shares over 3 months, signaling strong leadership conviction during the turnaround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Conduent's financial position remains severely challenged and has deteriorated since last screen: profit margin widened to -7.8% (from -5.0%) and ROE deepened to -20.5% (from -17.6%), both scoring 0 [6]. D/E of 127.4% scores 0.75 on leverage. Revenue growth YoY accelerated its decline to -11.9% (from -3.7% in Q1 2026), scoring 0.27. The 5-year revenue CAGR of approximately -10% (from ~$3.9B in FY2021 to FY2026 guidance of ~$2.2B) falls below the -5% floor, scoring 0 [1][2]. Forward P/E is negative at -28.3 (forward EPS -$0.06), scoring 0. Adj. EBITDA margin improved to 6.8% from 4.9% YoY in Q1 2026, and FY2027 guidance targets $190-220M EBITDA with flat-to-positive revenue, offering a stabilization path [2]. Liquidity passes: $1.70 × 1.02M avg volume = $1.7M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Conduent operates in survival mode, not playing an infinite game. The focus on $100M cost reductions, divestitures exceeding $200M, and quarterly loss narrowing signals a finite-minded turnaround strategy optimizing for near-term financial survival rather than enduring purpose [1]. Revenue has contracted for six consecutive years, FY2026 guidance of $2.15-2.25B confirms continued decline, and the FY2027 outlook of flat-to-positive growth acknowledges that organic recovery remains years away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Conduent's purpose of delivering 'mission-critical solutions' is functional but not a Just Cause in Sinek's framework — it describes what the company does, not why it exists [1]. No evidence of a vision that inspires sacrifice or endures beyond quarterly survival. Strategic narrative centers on 'portfolio rationalization,' 'returning to growth,' and EBITDA targets — finite language focused on near-term metrics.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environment evidenced by Glassdoor data — compensation rated 2.7/5, only 46% would recommend, with employees citing lack of career growth and disorganization [4]. Ongoing restructuring, headcount reductions (51,000 to 46,000), and organizational instability create fear rather than psychological safety. Reviews note leaders brought from Fiserv 'do not have the same approach' as the CEO, suggesting cultural misalignment in the leadership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Strategic communications focus on internal cost restructuring, pipeline expansion, and EBITDA improvement rather than learning from competitors like Accenture or Cognizant or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Conduent is divesting non-core businesses and refocusing on Government and Transportation segments where it has stronger competitive positions and AI-resistant moats, while deploying AI-powered solutions to modernize service delivery [1][2]. This represents meaningful strategic reorientation from the original Xerox spinoff portfolio, though driven by financial necessity rather than visionary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Agadi has made difficult decisions — executing $100M in cost reductions, pursuing $200M+ in divestitures, cutting headcount from 51,000 to 46,000, and personally purchasing 100,000 shares at $2.81 during the turnaround [1][5]. The FY2027 outlook targeting flat-to-positive revenue growth and $190-220M EBITDA shows willingness to take near-term pain for stabilization [2]. However, these decisions are driven by necessity rather than strategic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Conduent presents a speculative deep-value turnaround trading at $264M market cap on ~$2.9B TTM revenue (0.09x P/S). Q1 2026 showed operational progress with Adj. EBITDA margin improving to 6.8% from 4.9% YoY, and the $100M cost reduction program targets FY2026 EBITDA of $140-170M [1][2]. New business pipeline expansion to $3.5B (up 10% YoY) with Government pipeline up 29% suggests improving commercial momentum in AI-resistant service lines. CEO Agadi's aggressive insider buying (447,099 shares at ~$2.81) signals leadership conviction, and the FY2027 outlook targeting flat-to-positive revenue growth and $190-220M EBITDA offers a stabilization path [2][5]. Government and Transportation segments provide regulatory moats that limit AI disruption exposure.</w:t>
      </w:r>
    </w:p>
    <w:p>
      <w:pPr>
        <w:spacing w:after="120"/>
      </w:pPr>
      <w:r>
        <w:rPr>
          <w:rFonts w:ascii="Calibri" w:hAnsi="Calibri"/>
          <w:b w:val="0"/>
          <w:color w:val="3A4A28"/>
          <w:sz w:val="20"/>
        </w:rPr>
        <w:t>The bear case is formidable and intensifying. Revenue decline has accelerated to -11.9% YoY (from -3.7% in Q1 2026), with FY2026 guidance of $2.15-2.25B confirming continued contraction — now six consecutive years of decline from $4.16B [1][2]. The Commercial segment (down 10.2% YoY) faces accelerating AI disruption as enterprises adopt generative AI to automate the exact business processes Conduent manages. Net profitability remains deeply negative (-7.8% margin, -20.5% ROE) with 127% D/E creating limited financial flexibility and refinancing risk [6]. Headcount has dropped from 51,000 to 46,000 reflecting ongoing restructuring rather than efficiency gains. Glassdoor reviews (46% recommend, 2.7/5 compensation) indicate deep cultural challenges impeding the talent retention needed for transformation [4]. The $5.00 analyst consensus target implies 194% upside but the path to revenue stabilization — let alone growth — remains unproven after six years of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$100M cost reduction program driving Adj. EBITDA margin expansion beyond Q1's 6.8%, with FY2026 EBITDA guidance of $140-170M and FY2027 target of $190-220M providing measurable milestones [1][2]</w:t>
      </w:r>
    </w:p>
    <w:p>
      <w:pPr>
        <w:spacing w:before="40" w:after="40"/>
        <w:ind w:left="283"/>
      </w:pPr>
      <w:r>
        <w:rPr>
          <w:rFonts w:ascii="Calibri" w:hAnsi="Calibri"/>
          <w:b/>
          <w:color w:val="4A6B25"/>
          <w:sz w:val="20"/>
        </w:rPr>
        <w:t xml:space="preserve">2. </w:t>
      </w:r>
      <w:r>
        <w:rPr>
          <w:rFonts w:ascii="Calibri" w:hAnsi="Calibri"/>
          <w:b w:val="0"/>
          <w:color w:val="3A4A28"/>
          <w:sz w:val="20"/>
        </w:rPr>
        <w:t>Divestiture proceeds exceeding $200M in 2026 enabling debt reduction and balance sheet repair, potentially unlocking a re-rating from the current 0.09x P/S discount [1]</w:t>
      </w:r>
    </w:p>
    <w:p>
      <w:pPr>
        <w:spacing w:before="40" w:after="40"/>
        <w:ind w:left="283"/>
      </w:pPr>
      <w:r>
        <w:rPr>
          <w:rFonts w:ascii="Calibri" w:hAnsi="Calibri"/>
          <w:b/>
          <w:color w:val="4A6B25"/>
          <w:sz w:val="20"/>
        </w:rPr>
        <w:t xml:space="preserve">3. </w:t>
      </w:r>
      <w:r>
        <w:rPr>
          <w:rFonts w:ascii="Calibri" w:hAnsi="Calibri"/>
          <w:b w:val="0"/>
          <w:color w:val="3A4A28"/>
          <w:sz w:val="20"/>
        </w:rPr>
        <w:t>Government and Transportation contract wins accelerating from the $3.5B pipeline (up 10% YoY), shifting revenue mix toward higher-margin, AI-resistant service lines with long-term regulatory moats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adoption by enterprise clients accelerating Commercial segment decline (already -10.2% YoY) as companies automate BPO functions internally, potentially compressing the entire addressable market for Conduent's core services [1]</w:t>
      </w:r>
    </w:p>
    <w:p>
      <w:pPr>
        <w:spacing w:before="40" w:after="40"/>
        <w:ind w:left="283"/>
      </w:pPr>
      <w:r>
        <w:rPr>
          <w:rFonts w:ascii="Calibri" w:hAnsi="Calibri"/>
          <w:b/>
          <w:color w:val="4A6B25"/>
          <w:sz w:val="20"/>
        </w:rPr>
        <w:t xml:space="preserve">2. </w:t>
      </w:r>
      <w:r>
        <w:rPr>
          <w:rFonts w:ascii="Calibri" w:hAnsi="Calibri"/>
          <w:b w:val="0"/>
          <w:color w:val="3A4A28"/>
          <w:sz w:val="20"/>
        </w:rPr>
        <w:t>Six consecutive years of revenue decline with no demonstrated inflection — FY2026 guidance of $2.15-2.25B represents a further 25% contraction from the $2.9B TTM base, and FY2027 targets only flat-to-positive growth [1][2]</w:t>
      </w:r>
    </w:p>
    <w:p>
      <w:pPr>
        <w:spacing w:before="40" w:after="40"/>
        <w:ind w:left="283"/>
      </w:pPr>
      <w:r>
        <w:rPr>
          <w:rFonts w:ascii="Calibri" w:hAnsi="Calibri"/>
          <w:b/>
          <w:color w:val="4A6B25"/>
          <w:sz w:val="20"/>
        </w:rPr>
        <w:t xml:space="preserve">3. </w:t>
      </w:r>
      <w:r>
        <w:rPr>
          <w:rFonts w:ascii="Calibri" w:hAnsi="Calibri"/>
          <w:b w:val="0"/>
          <w:color w:val="3A4A28"/>
          <w:sz w:val="20"/>
        </w:rPr>
        <w:t>Negative profitability (-7.8% margin) and 127% D/E with $851M total debt against $228M cash create refinancing risk if the turnaround timeline extends, with limited margin for execution missteps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 EXPOSED): Conduent's core BPO business faces significant AI disruption risk. Generative AI and process automation can directly substitute document processing, customer service, and back-office operations constituting the Commercial segment (down 10.2% YoY) [1]. The BPO market broadly faces compression as enterprises adopt generative AI to automate processes internally — Conduent's Commercial revenue decline may be an early signal of structural AI displacement. However, Government Services (up 4.6%) and Transportation (up 2.3%) benefit from regulatory barriers, long-term contracts, and physical infrastructure requirements (tolling systems, transit fare collection) that provide partial protection [1][2]. AI Opportunity (1/1): The AI Experience Center launched in January 2026 demonstrates active AI product development across customer experience, document processing, and fraud mitigation, with GenAI solutions in deployment for clients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Conduent Q1 2026 Earnings Press Release — Revenue $723M (down 3.7%), Adj. EBITDA $49M (6.8% margin), AI Experience Center Launch, May 2026</w:t>
      </w:r>
    </w:p>
    <w:p>
      <w:pPr>
        <w:spacing w:before="20" w:after="20"/>
        <w:ind w:left="170"/>
      </w:pPr>
      <w:r>
        <w:rPr>
          <w:rFonts w:ascii="Calibri" w:hAnsi="Calibri"/>
          <w:b/>
          <w:color w:val="4A6B25"/>
          <w:sz w:val="15"/>
        </w:rPr>
        <w:t xml:space="preserve">2. </w:t>
      </w:r>
      <w:r>
        <w:rPr>
          <w:rFonts w:ascii="Calibri" w:hAnsi="Calibri"/>
          <w:b w:val="0"/>
          <w:color w:val="3A4A28"/>
          <w:sz w:val="17"/>
        </w:rPr>
        <w:t>Conduent Q2 2026 Earnings and Updated FY2026 Guidance — Revenue $2.15-2.25B, Adj. EBITDA $140-170M, FY2027 Outlook $190-220M EBITDA, August 2026</w:t>
      </w:r>
    </w:p>
    <w:p>
      <w:pPr>
        <w:spacing w:before="20" w:after="20"/>
        <w:ind w:left="170"/>
      </w:pPr>
      <w:r>
        <w:rPr>
          <w:rFonts w:ascii="Calibri" w:hAnsi="Calibri"/>
          <w:b/>
          <w:color w:val="4A6B25"/>
          <w:sz w:val="15"/>
        </w:rPr>
        <w:t xml:space="preserve">3. </w:t>
      </w:r>
      <w:r>
        <w:rPr>
          <w:rFonts w:ascii="Calibri" w:hAnsi="Calibri"/>
          <w:b w:val="0"/>
          <w:color w:val="3A4A28"/>
          <w:sz w:val="17"/>
        </w:rPr>
        <w:t>Conduent ESG — Corporate Social Responsibility Committee Formed 2021, ESG Steering Committee, SEC Proxy Filings</w:t>
      </w:r>
    </w:p>
    <w:p>
      <w:pPr>
        <w:spacing w:before="20" w:after="20"/>
        <w:ind w:left="170"/>
      </w:pPr>
      <w:r>
        <w:rPr>
          <w:rFonts w:ascii="Calibri" w:hAnsi="Calibri"/>
          <w:b/>
          <w:color w:val="4A6B25"/>
          <w:sz w:val="15"/>
        </w:rPr>
        <w:t xml:space="preserve">4. </w:t>
      </w:r>
      <w:r>
        <w:rPr>
          <w:rFonts w:ascii="Calibri" w:hAnsi="Calibri"/>
          <w:b w:val="0"/>
          <w:color w:val="3A4A28"/>
          <w:sz w:val="17"/>
        </w:rPr>
        <w:t>Glassdoor — Conduent Employee Reviews: 46% Recommend, 2.7/5 Compensation, Leadership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Conduent Insider Buying — CEO Harsha Agadi 100K Share Purchase at $2.81, 447K Shares Total, June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CNDT Key Statistics: Price $1.70, D/E 127%, ROE -20.5%, Profit Margin -7.8%,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