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CNI</w:t>
      </w:r>
      <w:r>
        <w:rPr>
          <w:rFonts w:ascii="Calibri" w:hAnsi="Calibri"/>
          <w:b/>
          <w:color w:val="1A2010"/>
          <w:sz w:val="40"/>
        </w:rPr>
        <w:t xml:space="preserve">  Canadian National Railway Company</w:t>
      </w:r>
    </w:p>
    <w:p>
      <w:pPr>
        <w:spacing w:after="120"/>
      </w:pPr>
      <w:r>
        <w:rPr>
          <w:rFonts w:ascii="Calibri" w:hAnsi="Calibri"/>
          <w:b/>
          <w:color w:val="6E8450"/>
          <w:sz w:val="18"/>
        </w:rPr>
        <w:t>DIVIDEND SLEEVE · 2026-09-16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Railroads · NYSE · Canada</w:t>
      </w:r>
    </w:p>
    <w:p>
      <w:pPr>
        <w:spacing w:after="80"/>
      </w:pPr>
      <w:r>
        <w:rPr>
          <w:rFonts w:ascii="Calibri" w:hAnsi="Calibri"/>
          <w:b w:val="0"/>
          <w:color w:val="3A4A28"/>
          <w:sz w:val="20"/>
        </w:rPr>
        <w:t>Canadian National Railway operates the largest rail network in Canada and the only transcontinental network in North America, spanning approximately 20,000 route miles connecting Atlantic, Pacific, and Gulf coasts. CN transports petroleum, grain, forest products, metals, automotive, and intermodal freight. The company reported Q2 2026 revenue of C$4.75B (+11% YoY) with adjusted diluted EPS growth of 12% at constant currency and raised full-year 2026 guidance to mid-to-high single-digit adjusted EPS growth.</w:t>
      </w:r>
    </w:p>
    <w:p>
      <w:r>
        <w:rPr>
          <w:rFonts w:ascii="Calibri" w:hAnsi="Calibri"/>
          <w:b/>
          <w:color w:val="6E8450"/>
          <w:sz w:val="18"/>
        </w:rPr>
        <w:t>23,825 Employees · https://www.cn.ca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CN has executed incremental operational improvements since adopting precision scheduled railroading, expanded intermodal logistics parks, and invested in network capacity, but no transformative business model pivots or major new revenue streams have emerged in the past 5 years [1]. The attempted Kansas City Southern acquisition in 2021, which would have created a single-line Mexico-to-Canada railroad, was lost to CP Rail. AI Deployment (1/2): CN's Autonomous Track Inspection Program (ATIP) deploys AI-powered inspection railcars integrated into revenue service trains, and a co-innovation agreement with Google Cloud leverages AI for predictive maintenance and network optimization [2]. Digital train inspection portals capture high-resolution images analyzed by AI in real time, but no specific dollar-value savings have been publicly quantified. Market Share (2/2): CN is Canada's only coast-to-coast railroad and the sole Class I connecting three ocean ports (Vancouver, Prince Rupert, Halifax/New Orleans via Gulf), creating an irreplaceable intermodal logistics monopoly for Canadian exports [1]. Pipeline (0/2): No next-generation products with specific launch dates — railroad infrastructure investment is continuous and incremental rather than product-cycle driven. R&amp;D Intensity (0/1): Capital expenditure runs ~25% of revenue but is allocated to maintenance and capacity rather than R&amp;D in the traditional sense; railroads are not R&amp;D-intensive industries.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CN's stated purpose centers on delivering goods safely and responsibly to move the economy. The mission is clear and identifies what the company does, but is not distinctive from other Class I railroads — any major railroad could claim the same purpose [2]. Community Impact (1/2): CN established an Indigenous Advisory Council in 2021 comprised of Indigenous leaders from across Canada and has been listed on the Dow Jones Sustainability World Index for 11 consecutive years [3]. These are meaningful but no specific philanthropic dollar amounts or distinctive community investment programs were identified. Employee Retention (0/2): Glassdoor rating of 3.3/5 with work-life balance at 2.6/5 and culture/values at 2.7/5. Employee reviews describe '24/7 on call with no overtime pay,' 'annual budget cuts and regular rounds of layoffs,' and adversarial management culture [2]. Insider Buying (0/2): No evidence of meaningful net insider buying by CEO Tracy Robinson or other executives in the past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Debt-to-equity of 104% exceeds the 70% target but scores 0.85 on the 70-300% scale [4]. ROE of 22.0% exceeds the 15% target, scoring 1.0 [4]. Revenue growth YoY of 11.3% exceeds the 10% target [1]. Five-year revenue CAGR of approximately 4.5% is below the 10% target, scoring 0.63 — the weakest core metric. Forward P/E of 18.8 is below the 20 target [4]. Profit margin of 26.9% exceeds the 20% target [4]. Payout ratio of 46.3% slightly above the 40% target, scoring 0.90. Exceptional dividend track record: 29 consecutive years of dividend payments and growth since 1996 privatization, with a 5-year dividend growth CAGR of approximately 11.4% — nearly double the 6% target [4]. Liquidity floor easily cleared with ~$180M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CN demonstrates mixed infinite game characteristics. The railroad has endured for over 100 years and plays an inherently long-cycle game — infrastructure investments span decades and the network is irreplaceable. However, the adoption of precision scheduled railroading optimizes for operating ratio metrics that can prioritize short-term performance over long-term network resilience. Employee culture concerns (Glassdoor 2.6/5 work-life balance, reports of frequent layoffs) suggest a workforce managed for output rather than trust. CEO Tracy Robinson's disciplined operating philosophy is effective but operationally focused rather than cause-driven.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CN's purpose of connecting Canada's economy to global markets through its three-coast railroad network is genuine and enduring — the company has served this function since 1919 and through privatization in 1995. The cause transcends any single leader and connects to national economic infrastructure. However, CN's articulation of this purpose is functional rather than inspiring, and strategic decisions are more often framed around operational excellence and shareholder returns than advancing a transformative vision for the future of transportation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Evidence points to a low-trust operational culture at the front-line level. Glassdoor reviews (3.3/5 overall, 2.6/5 work-life balance, 2.7/5 culture) describe 'annual budget cuts and regular rounds of layoffs,' '24/7 on call with no overtime pay,' and adversarial management dynamics [2]. The precision scheduled railroading model, while operationally efficient, is frequently cited by employees as creating a high-pressure, low-flexibility environment. CEO Robinson has been in place since 2022 providing leadership stability, but the underlying culture concerns predate her tenure.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CN operates in a North American railroad ecosystem alongside CPKC, BNSF, Union Pacific, and Norfolk Southern. CN's competitive approach focuses on differentiating its own network advantages (three-coast access, intermodal capacity) rather than attacking rivals. The company's response to losing the Kansas City Southern acquisition to CP in 2021 was to refocus on its existing network strengths rather than pursuing destructive counter-strategies, demonstrating a mature competitive mindset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CN's most significant strategic evolution was privatization in 1995, transforming from a money-losing government railroad to a publicly traded, precision-operated carrier. The subsequent adoption of precision scheduled railroading fundamentally changed CN's operating model. More recently, CN has expanded into intermodal logistics parks and supply chain solutions. However, these changes have been incremental rather than transformative, and CN's core business model has remained fundamentally unchanged for decades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CN demonstrated willingness to make bold capital allocation decisions with the $30B+ bid for Kansas City Southern in 2021, which would have been the largest railroad merger in history. Although the bid failed, it showed leadership's ambition to reshape the North American railroad map. CEO Robinson has maintained CN's aggressive capital investment program (~25% of revenue) and continued growing dividends even through periods of volume softness in 2023-2024 [1]. However, no examples of sacrificing near-term earnings for long-term capability or walking away from profitable but misaligned business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CN reported Q2 2026 revenue of C$4.75B, up 11% YoY, with adjusted diluted EPS growth of 12% at constant currency, prompting management to raise full-year guidance to mid-to-high single-digit adjusted EPS growth [1]. Free cash flow grew 19% in H1 2026 to C$1.84B, supporting 29 consecutive years of dividend increases with an 11.4% 5-year dividend growth CAGR and a 2.2% yield [4]. CN's monopoly as Canada's only coast-to-coast railroad spanning three ocean ports creates an irreplaceable infrastructure asset with pricing power and operating leverage, while profit margins of 27% rank among the highest in the North American railroad industry [4]. ROE of 22% demonstrates efficient capital deployment, and forward P/E of 18.8x reflects reasonable valuation for a high-quality defensive compounder.</w:t>
      </w:r>
    </w:p>
    <w:p>
      <w:pPr>
        <w:spacing w:after="120"/>
      </w:pPr>
      <w:r>
        <w:rPr>
          <w:rFonts w:ascii="Calibri" w:hAnsi="Calibri"/>
          <w:b w:val="0"/>
          <w:color w:val="3A4A28"/>
          <w:sz w:val="20"/>
        </w:rPr>
        <w:t>The bear case centers on valuation, leverage, and cultural risks. Debt-to-equity of 104% exceeds the conservative 70% target, reflecting aggressive capital allocation through buybacks and infrastructure spending that reduces financial flexibility in a freight recession [4]. CN's significant exposure to Canadian commodity exports (grain, potash, crude) and cross-border trade makes it vulnerable to trade policy disruptions — tariff escalation between Canada and the US would directly impact freight volumes. Five-year revenue CAGR of just 4.5% highlights the railroad's slow-growth reality despite operational excellence, and PEG of 2.44 suggests the stock is fully valued relative to growth [4]. Employee culture concerns are significant, with Glassdoor ratings of 3.3/5, work-life balance at 2.6/5, and reviews describing frequent layoffs and adversarial management, creating retention risk for conductors and engineers in a tight labor market [2]. Q1 2026 revenue was flat YoY, suggesting the acceleration in Q2 may reflect seasonal or one-time factors rather than a structural inflection.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Volume recovery across intermodal, grain, and potash shipments with management guiding low single-digit volume growth in 2026, supported by CN's unique three-coast network and Q2 2026's 11% revenue acceleration [1]</w:t>
      </w:r>
    </w:p>
    <w:p>
      <w:pPr>
        <w:spacing w:before="40" w:after="40"/>
        <w:ind w:left="283"/>
      </w:pPr>
      <w:r>
        <w:rPr>
          <w:rFonts w:ascii="Calibri" w:hAnsi="Calibri"/>
          <w:b/>
          <w:color w:val="4A6B25"/>
          <w:sz w:val="20"/>
        </w:rPr>
        <w:t xml:space="preserve">2. </w:t>
      </w:r>
      <w:r>
        <w:rPr>
          <w:rFonts w:ascii="Calibri" w:hAnsi="Calibri"/>
          <w:b w:val="0"/>
          <w:color w:val="3A4A28"/>
          <w:sz w:val="20"/>
        </w:rPr>
        <w:t>Operating leverage materializing as H1 2026 free cash flow grew 19% YoY to C$1.84B on 11% revenue growth — precision scheduled railroading efficiencies compounding above cost inflation [1]</w:t>
      </w:r>
    </w:p>
    <w:p>
      <w:pPr>
        <w:spacing w:before="40" w:after="40"/>
        <w:ind w:left="283"/>
      </w:pPr>
      <w:r>
        <w:rPr>
          <w:rFonts w:ascii="Calibri" w:hAnsi="Calibri"/>
          <w:b/>
          <w:color w:val="4A6B25"/>
          <w:sz w:val="20"/>
        </w:rPr>
        <w:t xml:space="preserve">3. </w:t>
      </w:r>
      <w:r>
        <w:rPr>
          <w:rFonts w:ascii="Calibri" w:hAnsi="Calibri"/>
          <w:b w:val="0"/>
          <w:color w:val="3A4A28"/>
          <w:sz w:val="20"/>
        </w:rPr>
        <w:t>Growing Western Canadian export volumes (potash, LNG, agricultural products) driving new traffic on CN's unique Pacific coast terminal access at Prince Rupert and Vancouver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Debt-to-equity of 104% constrains financial flexibility — CN has leveraged up through buybacks and capex, with C$22B+ total debt leaving limited margin for error if freight volumes decline in a prolonged economic downturn [4]</w:t>
      </w:r>
    </w:p>
    <w:p>
      <w:pPr>
        <w:spacing w:before="40" w:after="40"/>
        <w:ind w:left="283"/>
      </w:pPr>
      <w:r>
        <w:rPr>
          <w:rFonts w:ascii="Calibri" w:hAnsi="Calibri"/>
          <w:b/>
          <w:color w:val="4A6B25"/>
          <w:sz w:val="20"/>
        </w:rPr>
        <w:t xml:space="preserve">2. </w:t>
      </w:r>
      <w:r>
        <w:rPr>
          <w:rFonts w:ascii="Calibri" w:hAnsi="Calibri"/>
          <w:b w:val="0"/>
          <w:color w:val="3A4A28"/>
          <w:sz w:val="20"/>
        </w:rPr>
        <w:t>US-Canada trade policy risk including tariff escalation or USMCA renegotiation would directly reduce cross-border freight volumes, a material portion of CN's revenue base [1]</w:t>
      </w:r>
    </w:p>
    <w:p>
      <w:pPr>
        <w:spacing w:before="40" w:after="40"/>
        <w:ind w:left="283"/>
      </w:pPr>
      <w:r>
        <w:rPr>
          <w:rFonts w:ascii="Calibri" w:hAnsi="Calibri"/>
          <w:b/>
          <w:color w:val="4A6B25"/>
          <w:sz w:val="20"/>
        </w:rPr>
        <w:t xml:space="preserve">3. </w:t>
      </w:r>
      <w:r>
        <w:rPr>
          <w:rFonts w:ascii="Calibri" w:hAnsi="Calibri"/>
          <w:b w:val="0"/>
          <w:color w:val="3A4A28"/>
          <w:sz w:val="20"/>
        </w:rPr>
        <w:t>Labor relations and cultural challenges — Glassdoor 2.6/5 work-life balance, reports of frequent layoffs and adversarial management, creating potential for crew shortages or work stoppages in a market with limited qualified train engineers and conductors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CN's core business — operating 20,000 miles of physical railroad track, terminals, and intermodal facilities — is structural infrastructure that AI cannot replicate or displace [1]. Railroad assets are expensive ($50B+ replacement cost) and long-lived (average fleet age 18.4 years), creating massive physical barriers to entry. The business requires government-granted rights-of-way, regulatory approvals, and environmental permits that AI-based alternatives cannot shortcut. The long-term fringe threat is autonomous trucking eroding rail's intermodal advantage, but rail's 4:1 fuel efficiency advantage and capacity economics remain structurally defensible even against fully autonomous trucks [2]. No analysts have flagged AI as a disruption risk for CN's core operations. AI Opportunity (0/1): CN deploys AI internally for track inspection (ATIP) and network optimization via Google Cloud partnership, but does not generate external AI revenue — these are cost reduction tools, not products sold to customers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Canadian National Railway Q2 2026 Earnings Release — Revenue C$4,753M (+11% YoY), Adjusted Diluted EPS +12% Constant Currency, Raised FY2026 Guidance to Mid-to-High Single-Digit EPS Growth, FCF C$1,842M H1 2026 (+19%), July 2026</w:t>
      </w:r>
    </w:p>
    <w:p>
      <w:pPr>
        <w:spacing w:before="20" w:after="20"/>
        <w:ind w:left="170"/>
      </w:pPr>
      <w:r>
        <w:rPr>
          <w:rFonts w:ascii="Calibri" w:hAnsi="Calibri"/>
          <w:b/>
          <w:color w:val="4A6B25"/>
          <w:sz w:val="15"/>
        </w:rPr>
        <w:t xml:space="preserve">2. </w:t>
      </w:r>
      <w:r>
        <w:rPr>
          <w:rFonts w:ascii="Calibri" w:hAnsi="Calibri"/>
          <w:b w:val="0"/>
          <w:color w:val="3A4A28"/>
          <w:sz w:val="17"/>
        </w:rPr>
        <w:t>Canadian National Railway Leadership, AI Strategy (ATIP, Google Cloud), Culture — CN.ca, Klover.ai, FreightWaves, Glassdoor (3.3/5, Culture 2.7/5, Work-Life 2.6/5),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Canadian National Railway ESG Profile — Sustainalytics ESG Risk Score 15 (Low Risk), DJSI Member 11 Consecutive Years, Indigenous Advisory Council,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Canadian National Railway Financial Statistics — Yahoo Finance, StockAnalysis: Stock Price $121.77, Forward P/E 18.8, ROE 22.0%, D/E 103.9%, Profit Margin 26.9%, Dividend Yield 2.18%, Payout Ratio 46.3%, PEG 2.44,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