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CNQ</w:t>
      </w:r>
      <w:r>
        <w:rPr>
          <w:rFonts w:ascii="Calibri" w:hAnsi="Calibri"/>
          <w:b/>
          <w:color w:val="1A2010"/>
          <w:sz w:val="40"/>
        </w:rPr>
        <w:t xml:space="preserve">  Canadian Natural Resources Limited</w:t>
      </w:r>
    </w:p>
    <w:p>
      <w:pPr>
        <w:spacing w:after="120"/>
      </w:pPr>
      <w:r>
        <w:rPr>
          <w:rFonts w:ascii="Calibri" w:hAnsi="Calibri"/>
          <w:b/>
          <w:color w:val="6E8450"/>
          <w:sz w:val="18"/>
        </w:rPr>
        <w:t>DIVIDEND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Integrated · NYQ · Canada</w:t>
      </w:r>
    </w:p>
    <w:p>
      <w:pPr>
        <w:spacing w:after="80"/>
      </w:pPr>
      <w:r>
        <w:rPr>
          <w:rFonts w:ascii="Calibri" w:hAnsi="Calibri"/>
          <w:b w:val="0"/>
          <w:color w:val="3A4A28"/>
          <w:sz w:val="20"/>
        </w:rPr>
        <w:t>Canadian Natural Resources Limited is one of Canada's largest independent crude oil and natural gas producers, with operations spanning Western Canada, the North Sea, and offshore Africa. The company operates through oil sands mining and upgrading, thermal in-situ oil sands, conventional heavy oil, light oil and natural gas, and international segments. In Q2 2026, CNQ delivered record quarterly production of approximately 1,677,000 BOE/d (up 18% YoY), record adjusted net earnings of $4.6B ($2.20/share), and record adjusted funds flow of $6.9B ($3.30/share). The company is led by President Scott Stauth and Executive Chairman Murray Edwards, and has increased its annual dividend for 26 consecutive years.</w:t>
      </w:r>
    </w:p>
    <w:p>
      <w:r>
        <w:rPr>
          <w:rFonts w:ascii="Calibri" w:hAnsi="Calibri"/>
          <w:b/>
          <w:color w:val="6E8450"/>
          <w:sz w:val="18"/>
        </w:rPr>
        <w:t>10,640 Employees · https://www.cnrl.com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CNQ completed the $761M Peace River acquisition in 2026, raising total production guidance to 1,637-1,682 MBOE/d, and continued expanding Horizon Oil Sands and Albian operations [1][2]. These are operational acquisitions and expansions within the existing business model rather than transformative product launches or strategic pivots. AI Deployment (0/2): No specific AI deployment with measurable results was identified in company filings or earnings commentary. The company references a 'Culture of Innovation' but no quantified AI-driven cost savings or revenue gains have been disclosed [5]. Market Share (2/2): CNQ is one of the largest oil and gas producers in Canada by production volume. Record Q2 2026 production of 1,677,000 BOE/d represents category leadership in Canadian heavy oil and oil sands, with the company consistently among the top three producers in the country [1]. Product Pipeline (1/2): The Peace River acquisition adds defined production capacity, Horizon Mine expansion and Albian optimization projects have clear timelines, and the company's long-life, low-decline asset base provides multi-decade production visibility, though these are capital projects rather than next-gen products [1][2]. R&amp;D Intensity (0/1): Oil and gas R&amp;D spending is not separately disclosed and is generally below average for the energy sector; no evidence of exceptional technology investment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CNQ's stated approach is to develop assets in a 'safe, effective, and efficient manner' — a generic operational statement interchangeable with most oil and gas producers that does not articulate a deeper purpose or vision for a better future [5]. Community Impact (0/2): No specific charitable programs, foundation activity, or community investment initiatives were identified in web research. While Canadian oil sands companies typically engage with Indigenous communities, no CNQ-specific programs with quantified impact were found. Employee Retention (1/2): Glassdoor rating of 3.5/5 based on 881 reviews with 83% CEO approval suggests adequate workforce stability [5]. The company emphasizes that 'all employees are shareholders,' which provides alignment incentive. However, some reviews cite consistently high workload and understaffing concerns. No specific voluntary turnover or average tenure data is available. Insider Buying (0/2): Executive Chairman Murray Edwards maintains a significant ownership stake but no evidence of meaningful net insider buying by executives in the last 12 months was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CNQ's financial profile is exceptional across nearly every metric. D/E of approximately 37% scores 1.0, well below the 70% target, reflecting disciplined capital management including $1.6B in Q2 2026 net debt reduction [1][3]. ROE of 25.8% scores 1.0, significantly above the 15% target [4]. Revenue growth YoY of 8.7% scores 0.957, just below the 10% target but strong for an oil major [4]. Revenue growth 5yr CAGR of approximately 11% scores 1.0 [3]. Forward P/E of 13.04 scores 1.0, well below the 20 target [4]. Profit margin of 24.5% scores 1.0, exceeding the 20% target [4]. Payout ratio of 58.6% scores 0.69, the only metric below target (40% ideal) but well within the 100% floor. Consecutive years paid: 26, scores 1.0 (2x weight). Consecutive years growth: 26, scores 1.0 [3]. 5yr dividend growth CAGR of approximately 20.4% scores 1.0 (2x weight), reflecting aggressive shareholder returns [3]. Weighted sum: 11.65/12 = 97%, rounds to 10. Liquidity: $49.05 x 6.61M = $324M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Canadian Natural Resources plays a largely finite game optimized for efficient resource extraction and disciplined capital returns. The company excels at operational execution — 26 consecutive years of dividend growth, record production, aggressive debt reduction — but lacks the purpose-driven vision and strategic flexibility that characterize infinite game players. The business model has remained fundamentally unchanged since founding: extract hydrocarbons, optimize costs, return capital. While this consistency generates exceptional shareholder returns, it reflects a company optimized for the current energy paradigm rather than one built to endure through energy transitions.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CNQ's purpose is to develop oil and gas assets safely, effectively, and efficiently — an operational mandate focused on how the company works rather than why it exists or what future state it seeks to create [5]. This is a finite-game articulation: maximize extraction economics and return capital to shareholders. While responsible resource development is valuable, it does not constitute a Just Cause that inspires sacrifice or connects the company's work to a larger purpose beyond profit.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company's employee-shareholder model provides alignment and suggests organizational trust [5]. Glassdoor's 3.5/5 rating with 83% CEO approval indicates adequate workplace stability, and the recent leadership succession from Tim McKay to Scott Stauth was smooth and internally promoted. However, some employee reviews cite consistently high workloads, understaffing, and a 'finger-pointing culture,' suggesting uneven trust across the organization. No specific voluntary turnover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CNQ's competitive language centers on production volumes, cost efficiency, and reserve replacement ratios — metrics of winning rather than improving [1]. Management commentary focuses on operational superiority rather than learning from competitors' strengths. The company does not reference worthy rivals or use competitive dynamics for self-improvement in public communications.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CNQ has maintained an unwavering focus on oil and gas production since its founding, with no evidence of strategic pivots or business model transformation [1][2]. While the company has grown through acquisitions and expanded into new basins, all growth has been within the same resource extraction paradigm. The company has not demonstrated willingness to fundamentally reinvent itself or pursue opportunities outside hydrocarbons.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CNQ has demonstrated countercyclical investment discipline, notably maintaining capital spending and acquisition activity during oil price downturns including the 2020 crash, while simultaneously committing $1.6B to net debt reduction in Q2 2026 alone [1]. The $761M Peace River acquisition during a period of oil price uncertainty shows willingness to invest for long-term production growth. However, these decisions represent conventional oil industry capital allocation rather than courageous strategic departures from the profitable status quo.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Canadian Natural Resources at $49.05 with a $101B market cap is executing at peak operational efficiency — Q2 2026 delivered record production of 1,677,000 BOE/d (up 18% YoY), record adjusted net earnings of $4.6B ($2.20/share), and record adjusted funds flow of $6.9B ($3.30/share) [1]. The financial profile is top-tier: ROE of 25.8%, net margins of 24.5%, D/E of only 37%, forward P/E of 13.04, and a 26-year dividend growth streak with a 20.4% five-year dividend growth CAGR — placing it among the strongest dividend profiles in the energy sector [3][4]. The company returned $1.6B in net debt reduction in Q2 alone while maintaining aggressive shareholder returns, and the $761M Peace River acquisition extends its long-life, low-decline asset base. Stock is up 59% in 2026, yet at 13x forward earnings remains reasonably valued for its quality [3].</w:t>
      </w:r>
    </w:p>
    <w:p>
      <w:pPr>
        <w:spacing w:after="120"/>
      </w:pPr>
      <w:r>
        <w:rPr>
          <w:rFonts w:ascii="Calibri" w:hAnsi="Calibri"/>
          <w:b w:val="0"/>
          <w:color w:val="3A4A28"/>
          <w:sz w:val="20"/>
        </w:rPr>
        <w:t>The bear case centers on energy transition headwinds and commodity price dependency. CNQ's entire business is hydrocarbon extraction — 100% of revenue derives from crude oil and natural gas production with no diversification into renewables, carbon capture (beyond regulatory compliance), or alternative energy [1][2]. The payout ratio of 58.6% is elevated relative to the 40% target, limiting dividend growth capacity if commodity prices decline. Revenue growth of 8.7% YoY is heavily dependent on oil price realization rather than volume growth, and the 5yr CAGR of ~11% masks significant year-to-year volatility driven by commodity cycles. ESG-driven institutional divestment from oil sands producers is an ongoing headwind — pension funds including Aegon ($300B+ AUM) and KLP (~$90B AUM) have flagged oil sands producers for potential exclusion — and while Sustainalytics rates CNQ's controversy level at 1.0 (lowest), the oil sands industry faces structural reputational pressure [4]. The company's Innovation score of 4 and Inspiration score of 2 reflect a business optimized for efficient extraction rather than one building competitive advantages through technology or purpose-driven culture.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production trajectory — Q2 2026 output of 1,677,000 BOE/d with 2026 guidance raised to 1,637-1,682 MBOE/d following the $761M Peace River acquisition, providing volume growth independent of commodity prices [1]</w:t>
      </w:r>
    </w:p>
    <w:p>
      <w:pPr>
        <w:spacing w:before="40" w:after="40"/>
        <w:ind w:left="283"/>
      </w:pPr>
      <w:r>
        <w:rPr>
          <w:rFonts w:ascii="Calibri" w:hAnsi="Calibri"/>
          <w:b/>
          <w:color w:val="4A6B25"/>
          <w:sz w:val="20"/>
        </w:rPr>
        <w:t xml:space="preserve">2. </w:t>
      </w:r>
      <w:r>
        <w:rPr>
          <w:rFonts w:ascii="Calibri" w:hAnsi="Calibri"/>
          <w:b w:val="0"/>
          <w:color w:val="3A4A28"/>
          <w:sz w:val="20"/>
        </w:rPr>
        <w:t>Aggressive shareholder returns — 26 consecutive years of dividend increases at a 20.4% five-year CAGR, $1.6B quarterly net debt reduction, and stock buyback programs signal management commitment to capital discipline [1][3]</w:t>
      </w:r>
    </w:p>
    <w:p>
      <w:pPr>
        <w:spacing w:before="40" w:after="40"/>
        <w:ind w:left="283"/>
      </w:pPr>
      <w:r>
        <w:rPr>
          <w:rFonts w:ascii="Calibri" w:hAnsi="Calibri"/>
          <w:b/>
          <w:color w:val="4A6B25"/>
          <w:sz w:val="20"/>
        </w:rPr>
        <w:t xml:space="preserve">3. </w:t>
      </w:r>
      <w:r>
        <w:rPr>
          <w:rFonts w:ascii="Calibri" w:hAnsi="Calibri"/>
          <w:b w:val="0"/>
          <w:color w:val="3A4A28"/>
          <w:sz w:val="20"/>
        </w:rPr>
        <w:t>AI-driven energy demand — proliferating AI data centers require massive electricity generation, creating a structural tailwind for Canadian natural gas production as a primary energy input for North American power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100% commodity price exposure — revenue, earnings, and dividend sustainability depend entirely on crude oil and natural gas prices with no business diversification, and a sustained $50/barrel WTI scenario would severely compress the 24.5% net margin and threaten the 58.6% payout ratio [1][4]</w:t>
      </w:r>
    </w:p>
    <w:p>
      <w:pPr>
        <w:spacing w:before="40" w:after="40"/>
        <w:ind w:left="283"/>
      </w:pPr>
      <w:r>
        <w:rPr>
          <w:rFonts w:ascii="Calibri" w:hAnsi="Calibri"/>
          <w:b/>
          <w:color w:val="4A6B25"/>
          <w:sz w:val="20"/>
        </w:rPr>
        <w:t xml:space="preserve">2. </w:t>
      </w:r>
      <w:r>
        <w:rPr>
          <w:rFonts w:ascii="Calibri" w:hAnsi="Calibri"/>
          <w:b w:val="0"/>
          <w:color w:val="3A4A28"/>
          <w:sz w:val="20"/>
        </w:rPr>
        <w:t>Energy transition and ESG divestment pressure — institutional investors including Aegon and KLP have flagged oil sands producers for potential exclusion, and Canadian regulatory tightening on emissions could increase operating costs for heavy oil and mining operations</w:t>
      </w:r>
    </w:p>
    <w:p>
      <w:pPr>
        <w:spacing w:before="40" w:after="40"/>
        <w:ind w:left="283"/>
      </w:pPr>
      <w:r>
        <w:rPr>
          <w:rFonts w:ascii="Calibri" w:hAnsi="Calibri"/>
          <w:b/>
          <w:color w:val="4A6B25"/>
          <w:sz w:val="20"/>
        </w:rPr>
        <w:t xml:space="preserve">3. </w:t>
      </w:r>
      <w:r>
        <w:rPr>
          <w:rFonts w:ascii="Calibri" w:hAnsi="Calibri"/>
          <w:b w:val="0"/>
          <w:color w:val="3A4A28"/>
          <w:sz w:val="20"/>
        </w:rPr>
        <w:t>Innovation deficit — zero AI deployment, no next-gen products, no diversification into alternative energy or technology, creating long-term strategic vulnerability if the energy transition accelerates faster than consensus expectations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Canadian Natural Resources' core business — extracting crude oil and natural gas from oil sands, thermal in-situ, and conventional operations — is structurally immune to AI disruption [1]. AI cannot operate mining equipment, run SAGD facilities, or replace the physical-world infrastructure required for hydrocarbon extraction. The company's operations require heavy capital equipment, regulatory expertise, environmental compliance, and physical presence across remote Canadian sites. AI adoption may actually increase demand for energy as proliferating AI data centers consume massive electricity, creating a structural tailwind for natural gas and oil producers. Sustainalytics rates CNQ's management of ESG material risk as strong, with a lowest-level controversy score of 1.0, indicating minimal governance or operational disruption risk [4]. AI Opportunity (0/1): CNQ does not generate revenue from AI products or services. The company references a culture of innovation but has not disclosed specific AI-powered products, AI-driven revenue streams, or quantified internal AI efficiency gains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Canadian Natural Resources Q2 2026 Earnings Release — Record Production 1,677,000 BOE/d, Adjusted Net Earnings $4.6B, Adjusted Funds Flow $6.9B, $1.6B Net Debt Reduction, Newsfilecorp, August 2026</w:t>
      </w:r>
    </w:p>
    <w:p>
      <w:pPr>
        <w:spacing w:before="20" w:after="20"/>
        <w:ind w:left="170"/>
      </w:pPr>
      <w:r>
        <w:rPr>
          <w:rFonts w:ascii="Calibri" w:hAnsi="Calibri"/>
          <w:b/>
          <w:color w:val="4A6B25"/>
          <w:sz w:val="15"/>
        </w:rPr>
        <w:t xml:space="preserve">2. </w:t>
      </w:r>
      <w:r>
        <w:rPr>
          <w:rFonts w:ascii="Calibri" w:hAnsi="Calibri"/>
          <w:b w:val="0"/>
          <w:color w:val="3A4A28"/>
          <w:sz w:val="17"/>
        </w:rPr>
        <w:t>Canadian Natural Resources Q1 2026 Earnings Release — Adjusted Net Earnings $2.4B ($1.17/share), Adjusted Funds Flow $4.4B ($2.10/share), SEC Form 6-K, May 2026</w:t>
      </w:r>
    </w:p>
    <w:p>
      <w:pPr>
        <w:spacing w:before="20" w:after="20"/>
        <w:ind w:left="170"/>
      </w:pPr>
      <w:r>
        <w:rPr>
          <w:rFonts w:ascii="Calibri" w:hAnsi="Calibri"/>
          <w:b/>
          <w:color w:val="4A6B25"/>
          <w:sz w:val="15"/>
        </w:rPr>
        <w:t xml:space="preserve">3. </w:t>
      </w:r>
      <w:r>
        <w:rPr>
          <w:rFonts w:ascii="Calibri" w:hAnsi="Calibri"/>
          <w:b w:val="0"/>
          <w:color w:val="3A4A28"/>
          <w:sz w:val="17"/>
        </w:rPr>
        <w:t>Canadian Natural Resources Dividend History and Stock Performance — 26 Consecutive Years Dividend Growth, 20.4% 5yr Div Growth CAGR, Stock Up 59% in 2026, Motley Fool Canada / GuruFocus / SureDividend,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VCP Scanner / Sustainalytics — CNQ Key Statistics: P/E 11.81, Forward P/E 13.04, ROE 25.8%, Net Margin 24.5%, Controversy Level 1.0,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Canadian Natural Resources Leadership and Culture — President Scott Stauth, Executive Chairman Murray Edwards, Glassdoor 3.5/5 (881 reviews, 83% CEO approval), CTV News / Glassdoor,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