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CODI</w:t>
      </w:r>
      <w:r>
        <w:rPr>
          <w:rFonts w:ascii="Calibri" w:hAnsi="Calibri"/>
          <w:b/>
          <w:color w:val="1A2010"/>
          <w:sz w:val="40"/>
        </w:rPr>
        <w:t xml:space="preserve">  Compass Diversified Holdings</w:t>
      </w:r>
    </w:p>
    <w:p>
      <w:pPr>
        <w:spacing w:after="120"/>
      </w:pPr>
      <w:r>
        <w:rPr>
          <w:rFonts w:ascii="Calibri" w:hAnsi="Calibri"/>
          <w:b/>
          <w:color w:val="6E8450"/>
          <w:sz w:val="18"/>
        </w:rPr>
        <w:t>DIVIDEND SLEEVE · 2026-09-21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Conglomerates · NYSE · United States</w:t>
      </w:r>
    </w:p>
    <w:p>
      <w:pPr>
        <w:spacing w:after="80"/>
      </w:pPr>
      <w:r>
        <w:rPr>
          <w:rFonts w:ascii="Calibri" w:hAnsi="Calibri"/>
          <w:b w:val="0"/>
          <w:color w:val="3A4A28"/>
          <w:sz w:val="20"/>
        </w:rPr>
        <w:t>Compass Diversified is a diversified holding company that acquires and manages leading middle-market businesses across consumer and industrial end markets. Current portfolio includes 5.11 Tactical (tactical apparel/gear), BOA Technology (dial-closure fit systems), Marucci Sports (baseball equipment), PrimaLoft (synthetic insulation), Arnold Magnetics (specialty magnets), The Honey Pot Company (feminine care), and Ergobaby (baby carriers). The company faced an accounting scandal at subsidiary Lugano Holdings in 2025, leading to financial restatements and governance overhaul. FY2025 revenue was $1.87B with subsidiary adjusted EBITDA of $345.8M. Founded in 1998, headquartered in Westport, Connecticut. Market cap ~$830M.</w:t>
      </w:r>
    </w:p>
    <w:p>
      <w:r>
        <w:rPr>
          <w:rFonts w:ascii="Calibri" w:hAnsi="Calibri"/>
          <w:b/>
          <w:color w:val="6E8450"/>
          <w:sz w:val="18"/>
        </w:rPr>
        <w:t>4,069 Employees · https://www.compassdiversified.com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CODI's acquisition model has built several niche brands over 28 years, but the Lugano Holdings acquisition resulted in a catastrophic inventory fraud requiring financial restatements for FY2022-2024, severely undermining execution credibility [1]. Subsidiary performance has improved — Q2 2026 beat profit forecasts — but the holding company has not produced a transformative business pivot. AI Deployment (0/2): No evidence of AI-powered products or AI-driven cost savings across any portfolio company; the holding company provides financial oversight, not technology strategy [2]. Market Share (1/2): BOA Technology dominates dial-closure fit systems used by 400+ brands globally; 5.11 Tactical holds strong positioning in tactical/law enforcement apparel; Marucci is the #1 wood bat in MLB — genuine niche leadership positions [2]. Pipeline (1/2): Active acquisition pipeline targeting $80-800M deals with 2026 EBITDA guidance of $320-365M (raised to $345-395M after Q2 beat), suggesting portfolio momentum [1]. R&amp;D Intensity (0/1): As a holding company, consolidated R&amp;D intensity is minimal; subsidiaries like BOA and PrimaLoft invest in product development but no standout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CODI's stated purpose — acquiring and managing leading middle-market businesses to generate attractive risk-adjusted returns — is a generic holding company financial objective interchangeable with any PE firm, with no articulated vision of a better future beyond capital allocation [2]. Community Impact (0/2): No evidence of significant charitable programs, foundation activity, or community investment at the holding company level beyond standard corporate responsibility. Subsidiary 5.11 Tactical serves first responders but this is market positioning, not philanthropy. Employee Retention (1/2): The company promotes internal culture of transparency, alignment, accountability, and governance, but recent CEO appointments at Arnold Magnetics and PrimaLoft signal subsidiary-level leadership churn [2]. Insider Buying (0/2): No evidence of meaningful net insider buying by CEO Elias Sabo or other executives; the ADW Capital activist stake represents external pressure, not management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Dividend-sleeve metrics. D/E of 288% is just below the 300% floor, scoring minimally (0.05) as deleveraging from Sterno divestiture proceeds reduced debt load from 383% [1]. ROE of -0.23% is approaching breakeven but still below the 0% floor, scoring 0 [4]. Forward P/E of 17.1x is a bright spot, comfortably below the 20x target and scoring perfectly after improving from 32x as the company approaches profitability [4]. Revenue growth YoY of -11.4% reflects Lugano deconsolidation impact (ex-Lugano organic growth was +3.9%); 5-year revenue CAGR of ~4% scores 0.60 [1]. Profit margin of -5.29% scores 0 due to restatement charges and impairments [4]. Consecutive years of dividend payment ~15+ (with brief 2025 suspension) scores well with 2x weight. Dividend growth metrics score 0 — the annual rate was cut from $1.44 to $1.00 and has not grown since, producing a negative 5yr CAGR [4]. Liquidity floor cleared at $7.9M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Compass Diversified operates with a fundamentally financial orientation, existing to acquire businesses and distribute cash to shareholders. The Lugano accounting scandal exposed governance weaknesses, but management's decisive response — divesting Sterno, deleveraging $280M+, raising 2026 guidance after Q2 beat — demonstrates pragmatic recovery orientation [1]. The 28-year operating history under co-founder CEO Elias Sabo provides continuity, though purpose-driven decision-making beyond financial returns remains absent.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CODI articulates a mission of acquiring and managing leading middle-market businesses — a strategy statement interchangeable with dozens of PE firms and holding companies [2]. CEO Elias Sabo's 28-year tenure since co-founding demonstrates personal commitment, but the purpose is capital allocation and returns, not a vision of a better future. The Lugano scandal undermines any claim that acquisitions are mission-driven beyond financial metrics.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CODI's decentralized model — letting subsidiary management teams run their businesses with holding company oversight and strong subsidiary-level boards — suggests organizational trust and autonomy [2]. The company promotes internal culture of transparency, alignment, accountability, and governance. However, the Lugano fraud exposed fundamental failures in internal controls, and new CEO appointments at Arnold Magnetics and PrimaLoft signal subsidiary leadership instability that undermines deep trust-building.</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CODI competes with superior holding companies like Danaher, Roper Technologies, and TransDigm for middle-market acquisitions. The company's focus on 'leading niche positions' and 'defensible industries' suggests competitive self-awareness in selecting battles where its smaller scale and acquisition criteria differentiate from larger PE buyers [2]. However, the ADW Capital activist campaign highlights external pressure that the holding company model may be suboptimal relative to peers.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CODI has demonstrated portfolio flexibility — divesting Sterno food service to focus on higher-growth consumer brands, rotating capital from mature to growth businesses, and adapting portfolio composition over 28 years [1]. The post-Lugano response included decisive divestitures and deleveraging. However, these are standard portfolio management moves within the same holding company model, not transformative reinvention driven by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Management made painful but necessary decisions in 2025-2026: suspending the dividend to preserve cash, divesting Sterno and using $280M+ in proceeds to deleverage, booking the PrimaLoft goodwill impairment rather than concealing deterioration, and then reinstating distributions as performance improved [1]. These are pragmatic survival decisions that demonstrate willingness to sacrifice near-term shareholder returns for long-term viability, though the failure to prevent the Lugano fraud in the first place tempers the courage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Compass Diversified at 17.1x forward earnings offers deep value in a recovering holding company with niche-leading brands — BOA Technology (dial-closure lacing, 400+ brand partners), 5.11 Tactical (law enforcement/tactical apparel), and Marucci (#1 wood bat in MLB) [2]. Q2 2026 beat profit forecasts, management raised 2026 subsidiary EBITDA guidance to $345-395M, and D/E improved from 383% to 288% through the Sterno divestiture and $280M+ debt repayment [1]. At $11.04 the stock trades at ~0.47x revenue and offers a 9.1% dividend yield, providing income while the recovery plays out. ROE approaching breakeven (-0.23%) after -53.2% signals the worst of the Lugano impairment cycle may be behind the company [4]. The Inspire Impact Score of 49 (ALIGNED) with 13 positive attributions makes it accessible for faith-based allocation.</w:t>
      </w:r>
    </w:p>
    <w:p>
      <w:pPr>
        <w:spacing w:after="120"/>
      </w:pPr>
      <w:r>
        <w:rPr>
          <w:rFonts w:ascii="Calibri" w:hAnsi="Calibri"/>
          <w:b w:val="0"/>
          <w:color w:val="3A4A28"/>
          <w:sz w:val="20"/>
        </w:rPr>
        <w:t>The bear case centers on governance credibility, leverage, and earnings quality. The Lugano accounting scandal destroyed investor trust, triggered a class-action lawsuit, and required FY2022-2024 restatements — rebuilding credibility will take years [1]. D/E of 288% remains near the 300% distress floor despite meaningful deleveraging, and profit margin of -5.29% confirms the company has not yet demonstrated sustained profitability in the post-Lugano portfolio [4]. Revenue decline of -11.4% reflects the Lugano deconsolidation (organic growth was +3.9% ex-Lugano), but the shrinking revenue base limits earnings leverage. The ADW Capital activist stake creates execution uncertainty — the activist has demanded strategic review and potential portfolio breakup. The $1.00 annual dividend represents a 31% cut from the pre-crisis $1.44 rate, and the negative 5-year dividend growth CAGR of -7% means income investors have suffered real value destruction. PEG of 2.65 suggests the growth being priced in may not materialize at sufficient pace.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deleveraging and earnings recovery — Q2 2026 beat expectations, subsidiary EBITDA guidance raised to $345-395M, and ROE approaching breakeven suggest the post-Lugano turnaround is gaining traction [1]</w:t>
      </w:r>
    </w:p>
    <w:p>
      <w:pPr>
        <w:spacing w:before="40" w:after="40"/>
        <w:ind w:left="283"/>
      </w:pPr>
      <w:r>
        <w:rPr>
          <w:rFonts w:ascii="Calibri" w:hAnsi="Calibri"/>
          <w:b/>
          <w:color w:val="4A6B25"/>
          <w:sz w:val="20"/>
        </w:rPr>
        <w:t xml:space="preserve">2. </w:t>
      </w:r>
      <w:r>
        <w:rPr>
          <w:rFonts w:ascii="Calibri" w:hAnsi="Calibri"/>
          <w:b w:val="0"/>
          <w:color w:val="3A4A28"/>
          <w:sz w:val="20"/>
        </w:rPr>
        <w:t>Potential dividend growth reinstatement as earnings normalize — the current $1.00 rate at 9.1% yield provides income floor, with room to rebuild toward the pre-crisis $1.44 as leverage decreases below 250% D/E [4]</w:t>
      </w:r>
    </w:p>
    <w:p>
      <w:pPr>
        <w:spacing w:before="40" w:after="40"/>
        <w:ind w:left="283"/>
      </w:pPr>
      <w:r>
        <w:rPr>
          <w:rFonts w:ascii="Calibri" w:hAnsi="Calibri"/>
          <w:b/>
          <w:color w:val="4A6B25"/>
          <w:sz w:val="20"/>
        </w:rPr>
        <w:t xml:space="preserve">3. </w:t>
      </w:r>
      <w:r>
        <w:rPr>
          <w:rFonts w:ascii="Calibri" w:hAnsi="Calibri"/>
          <w:b w:val="0"/>
          <w:color w:val="3A4A28"/>
          <w:sz w:val="20"/>
        </w:rPr>
        <w:t>Consumer brand momentum from BOA Technology, The Honey Pot, and 5.11 Tactical driving portfolio EBITDA above the $395M high end of raised 2026 guidance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Lugano class-action lawsuit and restatement overhang — resolution timeline is uncertain, and potential settlement costs could further deplete equity, while governance credibility remains impaired among institutional investors [1]</w:t>
      </w:r>
    </w:p>
    <w:p>
      <w:pPr>
        <w:spacing w:before="40" w:after="40"/>
        <w:ind w:left="283"/>
      </w:pPr>
      <w:r>
        <w:rPr>
          <w:rFonts w:ascii="Calibri" w:hAnsi="Calibri"/>
          <w:b/>
          <w:color w:val="4A6B25"/>
          <w:sz w:val="20"/>
        </w:rPr>
        <w:t xml:space="preserve">2. </w:t>
      </w:r>
      <w:r>
        <w:rPr>
          <w:rFonts w:ascii="Calibri" w:hAnsi="Calibri"/>
          <w:b w:val="0"/>
          <w:color w:val="3A4A28"/>
          <w:sz w:val="20"/>
        </w:rPr>
        <w:t>D/E of 288% near distress levels with -5.29% profit margin — any deterioration in subsidiary performance or credit market tightening could force distressed asset sales or threaten the dividend again [4]</w:t>
      </w:r>
    </w:p>
    <w:p>
      <w:pPr>
        <w:spacing w:before="40" w:after="40"/>
        <w:ind w:left="283"/>
      </w:pPr>
      <w:r>
        <w:rPr>
          <w:rFonts w:ascii="Calibri" w:hAnsi="Calibri"/>
          <w:b/>
          <w:color w:val="4A6B25"/>
          <w:sz w:val="20"/>
        </w:rPr>
        <w:t xml:space="preserve">3. </w:t>
      </w:r>
      <w:r>
        <w:rPr>
          <w:rFonts w:ascii="Calibri" w:hAnsi="Calibri"/>
          <w:b w:val="0"/>
          <w:color w:val="3A4A28"/>
          <w:sz w:val="20"/>
        </w:rPr>
        <w:t>ADW Capital activist stake and strategic review demands could force management change or portfolio breakup during a critical recovery phase, creating operational disruption and potential value destruction through fire sales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CODI's entire portfolio consists of physical product businesses — tactical apparel (5.11 Tactical), mechanical lacing systems (BOA Technology), baseball equipment (Marucci), synthetic insulation materials (PrimaLoft), specialty magnets (Arnold), feminine care products (Honey Pot), and baby carriers (Ergobaby) [2]. AI structurally cannot substitute for manufacturing baseball bats, producing insulation materials, or machining specialty magnets. These businesses involve physical-world operations, materials science, and tangible product manufacturing that are immune to AI displacement. The holding company model itself — selecting and managing businesses — could theoretically be enhanced by AI-driven analytics, but the portfolio's physical moat is deep. AI Opportunity (0/1): No portfolio company generates quantifiable AI-related revenue; AI is neither a product offering nor a meaningful operational tool across the portfolio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Compass Diversified FY2025 and Q2 2026 Results — FY2025 Revenue $1.87B (+4.8%), Subsidiary EBITDA $345.8M (+8.8%), Q2 2026 Beat Profit Forecast, EBITDA Guidance Raised $345-395M, Sterno Divestiture for Deleveraging — Nasdaq, Investing.com, StockTitan, 2026</w:t>
      </w:r>
    </w:p>
    <w:p>
      <w:pPr>
        <w:spacing w:before="20" w:after="20"/>
        <w:ind w:left="170"/>
      </w:pPr>
      <w:r>
        <w:rPr>
          <w:rFonts w:ascii="Calibri" w:hAnsi="Calibri"/>
          <w:b/>
          <w:color w:val="4A6B25"/>
          <w:sz w:val="15"/>
        </w:rPr>
        <w:t xml:space="preserve">2. </w:t>
      </w:r>
      <w:r>
        <w:rPr>
          <w:rFonts w:ascii="Calibri" w:hAnsi="Calibri"/>
          <w:b w:val="0"/>
          <w:color w:val="3A4A28"/>
          <w:sz w:val="17"/>
        </w:rPr>
        <w:t>Compass Diversified Portfolio and Strategy — 5.11 Tactical, BOA Technology, Marucci, PrimaLoft, Arnold Magnetics, Honey Pot, Ergobaby, Decentralized Management Model, CEO Elias Sabo — CompassDiversified.com, SEC 10-K/A, 2024-2026</w:t>
      </w:r>
    </w:p>
    <w:p>
      <w:pPr>
        <w:spacing w:before="20" w:after="20"/>
        <w:ind w:left="170"/>
      </w:pPr>
      <w:r>
        <w:rPr>
          <w:rFonts w:ascii="Calibri" w:hAnsi="Calibri"/>
          <w:b/>
          <w:color w:val="4A6B25"/>
          <w:sz w:val="15"/>
        </w:rPr>
        <w:t xml:space="preserve">3. </w:t>
      </w:r>
      <w:r>
        <w:rPr>
          <w:rFonts w:ascii="Calibri" w:hAnsi="Calibri"/>
          <w:b w:val="0"/>
          <w:color w:val="3A4A28"/>
          <w:sz w:val="17"/>
        </w:rPr>
        <w:t>Compass Diversified ESG — No Specific Controversies Beyond Lugano Governance Issue, Standard Corporate Responsibility — responsibilityreports.com,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CODI Key Statistics: Forward P/E 17.14x, PEG 2.65, D/E 288%, ROE -0.23%, Profit Margin -5.29%, Dividend Yield 9.06%, Stock Price $11.04, Avg Volume 712K,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