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COO</w:t>
      </w:r>
      <w:r>
        <w:rPr>
          <w:rFonts w:ascii="Calibri" w:hAnsi="Calibri"/>
          <w:b/>
          <w:color w:val="1A2010"/>
          <w:sz w:val="40"/>
        </w:rPr>
        <w:t xml:space="preserve">  The Cooper Companies,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2026-09-12 · Inspire: -82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Instruments &amp; Supplies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The Cooper Companies operates through two segments: CooperVision, a global leader in contact lenses specializing in toric, multifocal, and myopia management lenses (MiSight), and CooperSurgical, a leader in fertility and women's healthcare products. Q3 FY2026 revenue of $1.066B (+1% YoY) was pressured by planned U.S. channel inventory reductions at CooperVision, while CooperSurgical delivered 3% organic growth led by 5% fertility revenue gains. Following a strategic review, the company decided to retain CooperSurgical. FY2026 guidance calls for $4.23-4.25B revenue (2-3% organic growth) and non-GAAP EPS of $4.51-$4.55. Market cap approximately $12.4B.</w:t>
      </w:r>
    </w:p>
    <w:p>
      <w:r>
        <w:rPr>
          <w:rFonts w:ascii="Calibri" w:hAnsi="Calibri"/>
          <w:b/>
          <w:color w:val="6E8450"/>
          <w:sz w:val="18"/>
        </w:rPr>
        <w:t>15,000 Employees · https://www.coopercos.com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CooperVision has delivered meaningful product innovations including the FDA-approved MiSight 1 day myopia-control lens — the first and only FDA-approved soft contact lens to slow myopia progression in children — with completed global post-approval studies spanning 100+ clinical sites and 3,000+ children [1][5]. Expansion of daily silicone hydrogel platforms (MyDay, clariti) and enhanced toric/multifocal designs have driven specialty lens revenue to $363.8M in Q3 (+2% organic) [1]. CooperSurgical's fertility business grew to $141.2M quarterly revenue through organic growth and strategic acquisitions. AI Deployment (1/2): A 2025 Ocumetra partnership shipped the mEYE Gauge machine-learning tool to estimate ocular axial length for myopia risk without biometry equipment, and AI is used internally across forecasting, marketing, and shared services for margin expansion, though no COO-specific AI product revenue has been quantified [5]. Market Share (2/2): CooperVision holds the #1 global position by contact lens wearers and CooperSurgical is the global fertility-device leader, both with category-defining positions in their respective markets [1][2]. Product Pipeline (1/2): FY2026 pipeline includes continued myopia-management geographic expansion and next-generation daily lens platforms, though specific next-gen products with named launch dates and revenue visibility beyond MiSight rollout are not publicly detailed [1]. R&amp;D Intensity (0/1): No R&amp;D-as-%-of-revenue data relative to medtech peers was found in available disclosures.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Cooper's mission — 'people helping people, applying our collective knowledge, experience and talents to improve lives, one person at a time' — is specific and thoughtful, connecting CooperVision's vision correction and CooperSurgical's fertility products to a differentiated purpose that genuinely shapes the company's two-segment strategy [5]. The decision to retain CooperSurgical after a strategic review reinforces that the mission informs capital allocation [1]. Community Impact (1/2): CooperCompanies has published annual ESG reports since 2022, highlighting GHG emissions reductions exceeding 7% while increasing manufacturing output through its combined heat and power facility in Puerto Rico, and expanded access to myopia management in underserved markets [6]. However, no specific large-dollar community investment program or foundation was identified. Employee Retention (0/2): Glassdoor ratings of approximately 3.0/5 are below the manufacturing sector average, with mixed reviews noting concerns about senior management accessibility and organizational dynamics [4]. No standout retention or tenure data was found. Insider Buying (2/2): CEO Al White and multiple executives/directors bought shares in December 2025 near multi-year lows and again ahead of the March 2026 earnings release, representing specific, recent insider conviction at depressed valuations [7].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growth-stock metrics. D/E of 30.5% ($2.54B total debt against $8.33B stockholders' equity) is well below the 70% target [1][3]. ROE of 10.88% trails the 15% target but improved meaningfully from 4.87% in the prior quarter, partly aided by a $307.2M discrete tax benefit in Q3 that inflated trailing earnings [1]. Revenue growth YoY of approximately 5% (FY2026 guidance: 2-3% organic, ~5-6% reported) falls short of the 10% target, reflecting planned CooperVision channel inventory destocking [1]. 5-year revenue CAGR of ~6.7% ($2.92B FY2021 to ~$4.24B FY2026) is solid but below target. Forward P/E of 14.47x is attractively below the 20x target. Forward PEG of 1.77 is inside the 3.0 floor but above the 1.0 target, reflecting moderated growth expectations versus the prior quarter's 0.67 [3]. Profit margin of ~10% (normalized GAAP) trails the 20% target, reflecting acquisition-related intangible amortization, though non-GAAP operating margin is a healthier 26% [1]. Free cash flow surged 66% to $273M in Q3. Liquidity floor easily cleared at ~$106M daily trading value (1.67M shares × $63.48).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Cooper Companies shows a MIXED infinite-game profile. The 'people helping people' mission has genuinely shaped strategy — building CooperVision into the global contact lens leader by wearers and CooperSurgical into a fertility-care leader — and the decision to retain CooperSurgical after a strategic review demonstrates commitment to the mission-central segment over short-term value extraction [1]. Recent insider buying signals real leadership conviction. However, mixed Glassdoor sentiment on management accessibility and earnings-call language focused on organic growth percentages and capital allocation rather than purpose suggest the infinite-game mindset is not yet fully embedded in organizational culture.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The 'people helping people' mission has driven real strategic choices — continued investment in pediatric myopia management (MiSight, a category with long-term vision-health impact), building CooperSurgical into a global fertility leader, and critically, the decision to retain CooperSurgical after a strategic review rather than divest it for near-term value [1][5]. The retention decision strengthens the case that the purpose shapes capital allocation. However, the cause has not been tested through multi-decade crisis or leadership transition, keeping this at 2/3 rather than the top tier.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Cooper maintains a stable 15,000+ employee organization across 130+ countries with leadership continuity under CEO Al White since 2020. However, Glassdoor ratings of ~3.0/5 with recurring concerns about senior management accessibility and workplace dynamics suggest the culture falls short of a high-trust environment [4]. No evidence of exceptional employee empowerment, unusually long tenure, or psychological safety practices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specific evidence of Cooper management publicly acknowledging competitor strengths (Alcon, Johnson &amp; Johnson Vision, Bausch + Lomb) as motivation for self-improvement [1][2]. Competitive positioning is described primarily in share-leadership terms ('#1 by wearers') rather than a learning-oriented rivalry framing that Sinek would recognize as infinite-minded.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Cooper has evolved over decades from a diversified conglomerate into a focused two-segment healthcare leader in vision care and fertility [5]. The strategic review of CooperSurgical demonstrated willingness to evaluate the portfolio, ultimately deciding to retain it. The expansion into myopia management through MiSight represents a meaningful adjacent-market entry. These are genuine portfolio evolutions but not a transformative, cause-driven reinvention on the scale of an industry-redefining pivot.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Al White and multiple executives bought shares in December 2025 and March 2026 at multi-year stock lows, signaling personal capital commitment behind the long-term story [7]. The decision to retain CooperSurgical despite activist/strategic pressure to sell shows willingness to prioritize mission alignment over near-term value realization. Continued investment in myopia management despite reimbursement headwinds demonstrates some willingness to fund long-cycle bets, though no clear example of sacrificing near-term earnings for a costly principled stance was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Cooper Companies at 14.47x forward earnings offers a reasonably valued entry into a defensive healthcare compounder with global leadership in specialty contact lenses and fertility devices. Q3 FY2026 free cash flow surged 66% to $273M, and the company is aggressively returning capital via a $3B share repurchase authorization ($339M executed in Q3 alone) [1]. The CooperVision specialty lens portfolio (toric, multifocal, MiSight myopia management) commands premium pricing in the fastest-growing contact lens segments, with specialty revenue of $363.8M in Q3 [1]. CooperSurgical's fertility business delivered 5% organic growth on secular tailwinds as global IVF adoption expands, and the strategic review conclusion to retain CooperSurgical removes overhang while preserving mission-central revenue [1]. The balance sheet is conservative at 30.5% D/E with a long-term free cash flow target exceeding $2.2B over FY2026-2028. Insider buying by CEO Al White and multiple executives at multi-year lows signals leadership conviction [7].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decelerating organic growth and structural profitability constraints. FY2026 organic revenue guidance of just 2-3% represents a meaningful slowdown, with Q3 reporting only 1% total growth as U.S. channel inventory destocking pressured CooperVision [1]. The PEG ratio deteriorated from 0.67 to 1.77 as growth expectations moderated, and revenue growth YoY of ~5% and 5-year CAGR of ~6.7% both fall short of the 10% Infrastructure target. GAAP profit margin of ~10% is depressed by significant acquisition-related intangible amortization, and ROE of 10.88% remains below the 15% target, suggesting the company has not yet fully optimized returns on its $8.3B equity base (much of which is acquisition goodwill) [3]. The Inspire Impact Score of -82 (MISALIGNED), driven by CooperSurgical's involvement in IVF and reproductive health, will limit allocation for faith-based investors. While non-GAAP metrics paint a healthier picture (26% operating margin, 16% EPS growth), the stock depends on CooperVision destocking completion and renewed organic growth to re-rate.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Completion of U.S. CooperVision channel inventory destocking expected by end of FY2026, which should normalize organic growth back toward mid-single-digit levels and improve investor sentiment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scaling of MiSight myopia management globally — the only FDA-approved soft lens for childhood myopia control — as global myopia prevalence rises and regulatory approvals expand to additional markets and age groups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Free cash flow inflection ($273M in Q3 alone, +66% YoY) supporting accelerated buybacks under the $3B authorization (~$1.5B remaining) and potential accretive bolt-on M&amp;A in fertility and specialty lens adjacencies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organic growth deceleration below 3% if CooperVision inventory destocking extends beyond FY2026 or underlying contact lens demand weakens due to economic pressure on discretionary healthcare spending or increased refractive surgery adoption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Structural GAAP profitability gap — 10% net margin and 10.88% ROE are well below Infrastructure targets, reflecting acquisition-related amortization and a bloated equity base of $8.3B that may not generate adequate returns for shareholders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Competitive pressure from Johnson &amp; Johnson Vision and Alcon in specialty contact lenses, particularly in myopia management where competitors are developing rival solutions that could erode MiSight's first-mover advantage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Cooper's core businesses — manufacturing contact lenses and providing fertility/surgical devices — are deeply physical, highly regulated medical products that AI structurally cannot displace [1]. Contact lenses require materials science, precision manufacturing, and FDA-regulated quality processes. Fertility treatments (IVF, embryo transfer) require physical medical procedures and clinical expertise. Analysts have not flagged AI disruption as a risk factor for Cooper's business model. Some indirect exposure exists as AI-assisted diagnostic tools could shift value toward software in the optometry channel, but this would likely increase lens adoption rather than replace it. The score stays at 7 (PROTECTED rather than IMMUNE) because AI is neutral rather than a demand tailwind for Cooper's products. AI Opportunity (0/1): The Ocumetra mEYE Gauge partnership deploys machine learning for myopia risk assessment, and AI is used for internal efficiency, but no COO-specific AI product revenue has been quantified or disclosed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-82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Abortifacients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In Vitro Fertilization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CooperCompanies Q3 FY2026 Earnings Release — Revenue $1.066B (+1%), Non-GAAP EPS $1.15 (+4%), Free Cash Flow $273M (+66%), Strategic Review: CooperSurgical Retained, GlobeNewsWire,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CooperCompanies Q2 FY2026 Earnings Release — Record Revenue $1.082B (+8%), Non-GAAP EPS $1.21 (+26%), GlobeNewsWire,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GuruFocus — COO Key Statistics: Forward P/E 14.47x, D/E 30.5%, ROE 10.88%, PEG 1.77, Stock Price $63.48,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— Cooper Companies Employee Reviews ~3.0/5, Mixed Culture Feedback,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CooperVision / Ocumetra AI Myopia Diagnostic Partnership and MiSight Global Post-Approval Clinical Program — coopervision.com press releases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CooperCompanies 2023 ESG Report — GHG Reduction &gt;7%, Community Impact, Sustainability Initiatives,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Yahoo Finance / Simply Wall St — CooperCompanies Insider Buying Activity by CEO Al White and Executives, December 2025-March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