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COP</w:t>
      </w:r>
      <w:r>
        <w:rPr>
          <w:rFonts w:ascii="Calibri" w:hAnsi="Calibri"/>
          <w:b/>
          <w:color w:val="1A2010"/>
          <w:sz w:val="40"/>
        </w:rPr>
        <w:t xml:space="preserve">  ConocoPhillips</w:t>
      </w:r>
    </w:p>
    <w:p>
      <w:pPr>
        <w:spacing w:after="120"/>
      </w:pPr>
      <w:r>
        <w:rPr>
          <w:rFonts w:ascii="Calibri" w:hAnsi="Calibri"/>
          <w:b/>
          <w:color w:val="6E8450"/>
          <w:sz w:val="18"/>
        </w:rPr>
        <w:t>DIVIDEND SLEEVE · 2026-10-09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NYQ · United States</w:t>
      </w:r>
    </w:p>
    <w:p>
      <w:pPr>
        <w:spacing w:after="80"/>
      </w:pPr>
      <w:r>
        <w:rPr>
          <w:rFonts w:ascii="Calibri" w:hAnsi="Calibri"/>
          <w:b w:val="0"/>
          <w:color w:val="3A4A28"/>
          <w:sz w:val="20"/>
        </w:rPr>
        <w:t>ConocoPhillips is one of the world's largest independent exploration and production companies, with operations spanning the Lower 48 (Permian, Eagle Ford, Bakken), Alaska, Canada, Europe, Asia-Pacific, and the Middle East. The company completed the $23B Marathon Oil acquisition in late 2024 and the Surmont oil sands acquisition from TotalEnergies, significantly expanding its reserve base. H1 2026 earnings totaled $6.1B ($5.00/share), with realized pricing of $56.37/BOE (up 14% YoY) and production of 2,278 MBOED. CEO Ryan Lance retired after 14 years in September 2026, succeeded by former CFO Andy O'Brien. ConocoPhillips has paid dividends for 14 consecutive years since the Phillips 66 spinoff in 2012.</w:t>
      </w:r>
    </w:p>
    <w:p>
      <w:r>
        <w:rPr>
          <w:rFonts w:ascii="Calibri" w:hAnsi="Calibri"/>
          <w:b/>
          <w:color w:val="6E8450"/>
          <w:sz w:val="18"/>
        </w:rPr>
        <w:t>11,000 Employees · https://www.conocophillips.com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ConocoPhillips completed two transformative acquisitions — the $23B Marathon Oil deal (closed late 2024) expanding Permian Basin and Eagle Ford positions, and the Surmont oil sands acquisition from TotalEnergies [1][2]. While these are M&amp;A-driven growth rather than product innovation, they represent significant strategic repositioning of the company's asset base. AI Deployment (1/2): COP's Chief Digital and Information Officer Pragati Mathur has deployed AI-powered well optimization across the company's operations, enabling 'thousands of wells optimized daily where engineers previously could adjust just a dozen per day' — a measurable productivity improvement in artificial gas lift optimization and predictive maintenance [4]. Market Share (1/2): Post-Marathon acquisition, COP is one of the largest independent E&amp;P companies globally with 2,278 MBOED production in H1 2026, though it does not dominate a specific category in the way a market share leader would [1][2]. Product Pipeline (1/2): Major development projects include the Willow project in Alaska, Port Arthur LNG, APLNG expansion in Australia, and continued Permian Basin development with specific timelines and capital allocation plans [1]. R&amp;D Intensity (0/1): E&amp;P companies generally have low R&amp;D relative to revenue, and COP invests primarily through capital projects rather than standalone R&amp;D programs.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ConocoPhillips organizes its culture around five SPIRIT values (Safety, People, Integrity, Responsibility, Innovation, Teamwork) with a stated purpose of 'exploring, developing and producing crude oil, natural gas and natural gas liquids worldwide' [3][4]. The SPIRIT framework shows intentionality — it identifies specific cultural priorities and shapes HR practices — but the purpose statement itself is operational rather than aspirational, describing what the company does rather than why it matters. Community Impact (0/2): No specific charitable programs, foundation activity, or community investment initiatives with quantified impact were identified in web research beyond standard industry engagement. Employee Retention (1/2): Glassdoor reviews describe a 'supportive and safety-focused' culture with positive comments on work-life balance, but also criticism of 'institutional dogma' and a 'plays it safe' mentality that 'limits innovation in certain facets of the business' [4]. Ryan Lance's 14-year tenure provided leadership continuity. No specific voluntary turnover or average tenure data is available. Insider Buying (0/2): No evidence of meaningful net insider buying by executives in the last 12 months was identified. The CEO transition (Lance to O'Brien) involved standard compensation-plan share transactions.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approximately 35% scores 1.0, reflecting a conservatively leveraged balance sheet with $22.3B debt against ~$64.5B equity and $6.4B cash [1][2]. ROE of approximately 14.4% scores 0.96, just below the 15% target but strong for an oil major with a large equity base post-Marathon acquisition. Revenue growth YoY of approximately 5.5% scores 0.85, reflecting mixed quarter-to-quarter performance (Q1 down 21% in earnings, Q2 up 95%) [1][2]. Revenue growth 5yr CAGR of approximately 4% scores 0.60, depressed by volatile commodity cycles and the base effect from 2021's recovery year. Forward P/E of 13.59 scores 1.0, well below the 20 target [2]. Profit margin of approximately 16% scores 0.80, compressed by the Marathon integration and lower Q1 realizations. Payout ratio of approximately 45% scores 0.91 (1x weight). Consecutive years paid: 14, scores 1.0 (2x weight). Consecutive years growth: 5, scores 0.50 (1x weight). 5yr dividend growth CAGR of approximately 12% scores 1.0 (2x weight). Weighted sum: 10.62/12 = 88.5%, rounds to 9. Liquidity: $134.19 x 6.58M = $883M daily dollar volume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ConocoPhillips operates with a mixed but largely finite-game orientation. The company demonstrates operational discipline and long-term capital allocation through major multi-decade projects (Willow, Port Arthur LNG) and countercyclical investment. However, it fundamentally exists to extract and sell hydrocarbons — a business model defined by commodity cycles rather than an enduring cause. The Phillips 66 spinoff in 2012 demonstrated meaningful existential flexibility, and Ryan Lance's 14-year tenure provided strategic continuity. But competitive language centers on reserve replacement and production growth — metrics of winning — rather than an infinite-game mindset of continuous improvement.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ConocoPhillips' stated purpose is to explore, develop, and produce hydrocarbons while living its SPIRIT values (Safety, People, Integrity, Responsibility, Innovation, Teamwork) [3]. The SPIRIT framework adds structure beyond pure profit maximization, but the core purpose is a business description rather than a Just Cause — it does not articulate a future state so appealing that people would sacrifice to advance it. The company exists to produce energy, which is valuable but not inherently cause-driven.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ConocoPhillips' SPIRIT values framework and safety-focused culture provide an organizational foundation, and employee reviews describe 'really good people to work with' and a 'supportive' environment [4]. Ryan Lance's 14-year tenure and the smooth CEO succession to Andy O'Brien (effective September 1, 2026) demonstrate leadership continuity [3]. However, critical Glassdoor reviews cite 'institutional dogma' that limits innovation, and a culture that 'plays it safe, focus is on the financials,' suggesting uneven psychological safety for risk-taking and creativity.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COP's competitive language and strategy center on reserve base size, production growth, and cost of supply metrics — all measures of winning relative to peers rather than learning from their strengths [1][2]. The Marathon Oil acquisition was framed as gaining scale and synergies, not as learning from a rival. Management does not publicly reference worthy rivals or discuss how competitors push COP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2012 spinoff of Phillips 66, separating the downstream refining business from the upstream E&amp;P operations, was a genuine strategic restructuring that transformed ConocoPhillips from an integrated oil major into a focused E&amp;P company [3]. This required abandoning profitable refining operations to create a more focused business model. While the transformation was significant, it was a one-time restructuring 14 years ago rather than a pattern of reinvention, and the company has been on the same strategic course since.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COP has demonstrated willingness to make large, long-term capital commitments — the $23B Marathon Oil acquisition, the Willow project in Alaska (facing significant environmental opposition), and Port Arthur LNG each represent multi-decade bets requiring substantial upfront capital [1][2]. Maintaining investment during oil price downturns and committing to Alaska development amid regulatory headwinds show conviction. However, these are conventional E&amp;P capital allocation decisions — large but not departures from the established playbook.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ConocoPhillips at $134.19 with a $163.5B market cap is a top-tier E&amp;P company with a strengthened asset base following the $23B Marathon Oil and Surmont acquisitions. H1 2026 earnings totaled $6.1B ($5.00/share), with Q2 earnings surging to $3.9B ($3.23/share) as realized pricing rose 14% YoY to $56.37/BOE [1][2]. The financial profile is robust: forward P/E of 13.59, D/E of only 35%, a 14-year dividend payment track record with a 12% five-year dividend growth CAGR, and a payout ratio of 45% that provides ample room for continued growth [2]. AI-powered operational optimization is delivering measurable productivity gains (thousands of wells optimized daily vs. dozens previously), and the Willow and Port Arthur LNG projects provide multi-decade production visibility [4]. The new CEO Andy O'Brien, promoted from CFO effective September 2026, provides continuity as a 30-year company veteran [3].</w:t>
      </w:r>
    </w:p>
    <w:p>
      <w:pPr>
        <w:spacing w:after="120"/>
      </w:pPr>
      <w:r>
        <w:rPr>
          <w:rFonts w:ascii="Calibri" w:hAnsi="Calibri"/>
          <w:b w:val="0"/>
          <w:color w:val="3A4A28"/>
          <w:sz w:val="20"/>
        </w:rPr>
        <w:t>The bear case centers on commodity price sensitivity and an increasingly challenged ESG profile. Q1 2026 earnings fell 21% YoY to $2.2B as lower Permian gas prices and reduced volumes offset operational improvements, demonstrating the structural volatility inherent in a pure-play E&amp;P model [2]. The Surmont oil sands acquisition triggered divestment warnings from major European pension funds — Aegon ($300B+ AUM) flagged potential breach of its tar sands policy, and KLP (~$90B AUM) initiated monitoring — as oil sands revenue is projected to reach approximately 6.9% of total revenue, crossing the 5% threshold used by nearly 600 ESG funds [5]. The 5yr revenue CAGR of only 4% reflects commodity cycle volatility rather than structural growth, and profit margins of 16% are compressed relative to peers. ConocoPhillips shareholders have repeatedly voted against climate-related shareholder proposals, including one calling for firmer Scope 3 emission reduction targets, signaling a board resistant to energy transition advocacy [5]. The CEO transition from Lance to O'Brien introduces execution risk at a time when the company is integrating Marathon Oil's operations across multiple basins.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Post-acquisition scale — Marathon Oil and Surmont integrations add low-cost production across the Permian Basin, Eagle Ford, and Canadian oil sands, with $500M+ in expected annual synergies and total production of 2,278 MBOED in H1 2026 [1][2]</w:t>
      </w:r>
    </w:p>
    <w:p>
      <w:pPr>
        <w:spacing w:before="40" w:after="40"/>
        <w:ind w:left="283"/>
      </w:pPr>
      <w:r>
        <w:rPr>
          <w:rFonts w:ascii="Calibri" w:hAnsi="Calibri"/>
          <w:b/>
          <w:color w:val="4A6B25"/>
          <w:sz w:val="20"/>
        </w:rPr>
        <w:t xml:space="preserve">2. </w:t>
      </w:r>
      <w:r>
        <w:rPr>
          <w:rFonts w:ascii="Calibri" w:hAnsi="Calibri"/>
          <w:b w:val="0"/>
          <w:color w:val="3A4A28"/>
          <w:sz w:val="20"/>
        </w:rPr>
        <w:t>Multi-decade development projects — Willow (Alaska), Port Arthur LNG, and APLNG expansion provide visibility on production growth through the 2030s with defined timelines and capital allocation plans [1]</w:t>
      </w:r>
    </w:p>
    <w:p>
      <w:pPr>
        <w:spacing w:before="40" w:after="40"/>
        <w:ind w:left="283"/>
      </w:pPr>
      <w:r>
        <w:rPr>
          <w:rFonts w:ascii="Calibri" w:hAnsi="Calibri"/>
          <w:b/>
          <w:color w:val="4A6B25"/>
          <w:sz w:val="20"/>
        </w:rPr>
        <w:t xml:space="preserve">3. </w:t>
      </w:r>
      <w:r>
        <w:rPr>
          <w:rFonts w:ascii="Calibri" w:hAnsi="Calibri"/>
          <w:b w:val="0"/>
          <w:color w:val="3A4A28"/>
          <w:sz w:val="20"/>
        </w:rPr>
        <w:t>AI-driven energy demand tailwind — proliferating AI data centers require massive natural gas-fired power generation, creating structural demand growth for COP's core Permian and Eagle Ford natural gas production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Pure-play commodity exposure — Q1 2026 earnings declined 21% YoY demonstrating sensitivity to oil and gas price cycles, and a sustained $50/barrel WTI scenario would compress the 16% profit margin and pressure the 45% payout ratio [1][2]</w:t>
      </w:r>
    </w:p>
    <w:p>
      <w:pPr>
        <w:spacing w:before="40" w:after="40"/>
        <w:ind w:left="283"/>
      </w:pPr>
      <w:r>
        <w:rPr>
          <w:rFonts w:ascii="Calibri" w:hAnsi="Calibri"/>
          <w:b/>
          <w:color w:val="4A6B25"/>
          <w:sz w:val="20"/>
        </w:rPr>
        <w:t xml:space="preserve">2. </w:t>
      </w:r>
      <w:r>
        <w:rPr>
          <w:rFonts w:ascii="Calibri" w:hAnsi="Calibri"/>
          <w:b w:val="0"/>
          <w:color w:val="3A4A28"/>
          <w:sz w:val="20"/>
        </w:rPr>
        <w:t>ESG divestment acceleration — Surmont oil sands acquisition pushed projected oil sands revenue to ~6.9% of total, breaching the 5% threshold used by ~600 ESG funds, triggering divestment warnings from Aegon and KLP and risking institutional capital flight [5]</w:t>
      </w:r>
    </w:p>
    <w:p>
      <w:pPr>
        <w:spacing w:before="40" w:after="40"/>
        <w:ind w:left="283"/>
      </w:pPr>
      <w:r>
        <w:rPr>
          <w:rFonts w:ascii="Calibri" w:hAnsi="Calibri"/>
          <w:b/>
          <w:color w:val="4A6B25"/>
          <w:sz w:val="20"/>
        </w:rPr>
        <w:t xml:space="preserve">3. </w:t>
      </w:r>
      <w:r>
        <w:rPr>
          <w:rFonts w:ascii="Calibri" w:hAnsi="Calibri"/>
          <w:b w:val="0"/>
          <w:color w:val="3A4A28"/>
          <w:sz w:val="20"/>
        </w:rPr>
        <w:t>CEO transition execution risk — Ryan Lance's retirement after 14 years and replacement by Andy O'Brien (effective September 2026) coincides with the ongoing Marathon Oil integration across multiple basins and the ramp of major capital projects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ConocoPhillips' core business — exploring for and producing crude oil and natural gas — is structurally immune to AI disruption. Drilling wells, operating production facilities, managing pipelines, and maintaining physical infrastructure across remote global locations are physical-world operations that AI cannot replace [1][2]. The company's operations require geological expertise, heavy capital equipment, regulatory compliance across multiple jurisdictions, and physical-world execution that no AI system can substitute. The proliferation of AI data centers is increasing electricity demand, creating a structural tailwind for natural gas production as a primary power generation fuel. ESG-related divestment pressure represents the primary business model risk, not AI substitution. AI Opportunity (0/1): While COP has deployed AI internally for well optimization and predictive maintenance with measurable productivity gains (thousands of wells optimized daily vs. dozens manually), these are internal efficiency improvements rather than external AI revenue generation [4]. The company does not sell AI products or services to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ConocoPhillips Q2 2026 Earnings Release — $3.9B Net Earnings ($3.23/share), Realized Price $56.37/BOE (+14% YoY), H1 2026 Production 2,278 MBOED, SEC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ConocoPhillips Q1 2026 Earnings — $2.2B Net Earnings (down 21% YoY), Revenue ~$16B, Yahoo Finance / Offshore Technology, May 2026</w:t>
      </w:r>
    </w:p>
    <w:p>
      <w:pPr>
        <w:spacing w:before="20" w:after="20"/>
        <w:ind w:left="170"/>
      </w:pPr>
      <w:r>
        <w:rPr>
          <w:rFonts w:ascii="Calibri" w:hAnsi="Calibri"/>
          <w:b/>
          <w:color w:val="4A6B25"/>
          <w:sz w:val="15"/>
        </w:rPr>
        <w:t xml:space="preserve">3. </w:t>
      </w:r>
      <w:r>
        <w:rPr>
          <w:rFonts w:ascii="Calibri" w:hAnsi="Calibri"/>
          <w:b w:val="0"/>
          <w:color w:val="3A4A28"/>
          <w:sz w:val="17"/>
        </w:rPr>
        <w:t>ConocoPhillips CEO Transition — Ryan Lance Retiring After 14 Years, Andy O'Brien (Former CFO) Appointed CEO Effective September 1, 2026, Fortune / BGOV, August 2026</w:t>
      </w:r>
    </w:p>
    <w:p>
      <w:pPr>
        <w:spacing w:before="20" w:after="20"/>
        <w:ind w:left="170"/>
      </w:pPr>
      <w:r>
        <w:rPr>
          <w:rFonts w:ascii="Calibri" w:hAnsi="Calibri"/>
          <w:b/>
          <w:color w:val="4A6B25"/>
          <w:sz w:val="15"/>
        </w:rPr>
        <w:t xml:space="preserve">4. </w:t>
      </w:r>
      <w:r>
        <w:rPr>
          <w:rFonts w:ascii="Calibri" w:hAnsi="Calibri"/>
          <w:b w:val="0"/>
          <w:color w:val="3A4A28"/>
          <w:sz w:val="17"/>
        </w:rPr>
        <w:t>ConocoPhillips AI Innovation — CDIO Pragati Mathur, AI-Powered Well Optimization (Thousands of Wells Daily vs. Dozens), Predictive Maintenance, Heller Report, 2025</w:t>
      </w:r>
    </w:p>
    <w:p>
      <w:pPr>
        <w:spacing w:before="20" w:after="20"/>
        <w:ind w:left="170"/>
      </w:pPr>
      <w:r>
        <w:rPr>
          <w:rFonts w:ascii="Calibri" w:hAnsi="Calibri"/>
          <w:b/>
          <w:color w:val="4A6B25"/>
          <w:sz w:val="15"/>
        </w:rPr>
        <w:t xml:space="preserve">5. </w:t>
      </w:r>
      <w:r>
        <w:rPr>
          <w:rFonts w:ascii="Calibri" w:hAnsi="Calibri"/>
          <w:b w:val="0"/>
          <w:color w:val="3A4A28"/>
          <w:sz w:val="17"/>
        </w:rPr>
        <w:t>ConocoPhillips ESG Profile — Surmont Oil Sands Divestment Warnings from Aegon and KLP, Shareholders Rejected Climate Resolution, Sustainalytics Controversy Level Moderate, Benefits and Pensions Monitor / Energy Intel,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