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COR</w:t>
      </w:r>
      <w:r>
        <w:rPr>
          <w:rFonts w:ascii="Calibri" w:hAnsi="Calibri"/>
          <w:b/>
          <w:color w:val="1A2010"/>
          <w:sz w:val="40"/>
        </w:rPr>
        <w:t xml:space="preserve">  Cencora, Inc.</w:t>
      </w:r>
    </w:p>
    <w:p>
      <w:pPr>
        <w:spacing w:after="120"/>
      </w:pPr>
      <w:r>
        <w:rPr>
          <w:rFonts w:ascii="Calibri" w:hAnsi="Calibri"/>
          <w:b/>
          <w:color w:val="6E8450"/>
          <w:sz w:val="18"/>
        </w:rPr>
        <w:t>GROWTH SLEEVE · 2026-09-24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Distribution · NYSE · United States</w:t>
      </w:r>
    </w:p>
    <w:p>
      <w:pPr>
        <w:spacing w:after="80"/>
      </w:pPr>
      <w:r>
        <w:rPr>
          <w:rFonts w:ascii="Calibri" w:hAnsi="Calibri"/>
          <w:b w:val="0"/>
          <w:color w:val="3A4A28"/>
          <w:sz w:val="20"/>
        </w:rPr>
        <w:t>Cencora, Inc. (formerly AmerisourceBergen) is one of the 'Big Three' U.S. pharmaceutical distributors, sourcing and distributing branded, generic, and specialty pharmaceuticals to acute care hospitals, retail pharmacies, mail order pharmacies, and specialty providers. The company also provides global commercialization services, specialty logistics, and animal health distribution through its International Healthcare Solutions segment. Cencora reported Q3 FY2026 revenue of $84.8B (+5.1% YoY) with adjusted EPS of $4.48 (+12%) and raised FY2026 EPS guidance to $17.75-$17.95, driven by specialty distribution and GLP-1 product sales exceeding $2.3B in the quarter. Founded in 1871 and headquartered in Conshohocken, Pennsylvania.</w:t>
      </w:r>
    </w:p>
    <w:p>
      <w:r>
        <w:rPr>
          <w:rFonts w:ascii="Calibri" w:hAnsi="Calibri"/>
          <w:b/>
          <w:color w:val="6E8450"/>
          <w:sz w:val="18"/>
        </w:rPr>
        <w:t>47,000 Employees · https://www.cencora.com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Cencora rebranded from AmerisourceBergen in August 2023, signaling strategic evolution, and has expanded significantly into specialty pharmaceutical distribution — GLP-1 diabetes and weight-loss product sales exceeded $2.3B in Q3 FY2026 alone, demonstrating successful positioning in the fastest-growing drug category [1]. However, pharmaceutical distribution is fundamentally a logistics and scale business, not an innovation-driven one. AI Deployment (1/2): Cencora deployed an AI voice agent for insurance verification that sped up call handling by 4x and freed staff for complex cases, and appointed Pawan Verma as EVP &amp; Chief Data and Information Officer in November 2024 to accelerate digital transformation [3]. These are internal efficiency applications, not externally-shipped AI products. Market Share (1/2): Cencora is one of the Big Three pharmaceutical distributors alongside McKesson and Cardinal Health, handling approximately 30% of U.S. drug distribution volume; meaningful participant but not the category leader (McKesson is larger) [1]. Product Pipeline (0/2): No specific next-generation products with named launch dates were identified — growth depends on existing specialty distribution capabilities and pharmaceutical market volume. R&amp;D Intensity (0/1): Pharmaceutical distribution is a scale-driven logistics business with minimal R&amp;D spending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Cencora's purpose — 'improving the health of people and animals around the world through innovation' — is clear and identifies the company's role in healthcare, but is not distinctive from any healthcare company's standard mission statement [3]. The rebrand from AmerisourceBergen to Cencora represented an opportunity to articulate a differentiated purpose, but the resulting mission remains generic for the sector. Community Impact (0/2): No specific evidence of charitable foundations, community investment programs, or employee volunteer initiatives with measurable impact was identified beyond standard corporate philanthropy. Employee Retention (0/2): With 47,000 employees, specific retention or tenure data would be meaningful, but none was found in public sources. The CEO transition from Steven Collis to Robert Mauch was managed smoothly in October 2024, suggesting organizational stability. Insider Buying (0/2): No evidence of meaningful net insider buying by executives in the most recent 12-month period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Cencora's strongest metrics are the outstanding PEG ratio of 0.66 (below the 1.0 target, scoring 1.0 with 2x weight) and ROE of 96.87% (well above 15% target, scoring 1.0 with 2x weight), though the extremely high ROE is amplified by the leveraged capital structure [5]. Forward P/E of 15.84x scores 1.0, and the estimated 5-year revenue CAGR of ~9% scores 0.93 with 2x weight. Revenue growth of 5.1% YoY scores 0.84 [1]. The two severe drags are D/E of 446.52%, far above the 300% floor (scoring 0 with 1x weight), reflecting Cencora's heavily leveraged balance sheet from distribution infrastructure and acquisitions, and the razor-thin profit margin of 0.79% (scoring 0.04), a structural characteristic of pharmaceutical distribution where gross margins are inherently compressed by drug pass-through economics [5]. Daily liquidity of ~$440M provides ample institutional access.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Cencora is a 155-year-old pharmaceutical distributor that has survived through scale and operational execution, but the company operates primarily as a financially-driven logistics enterprise rather than a purpose-driven organization. The rebrand from AmerisourceBergen to Cencora in 2023 and CEO transition from Steven Collis to Robert Mauch in 2024 were managed transitions focused on continuity and efficiency rather than transformative purpose. Strategic decisions are framed around earnings growth, operating leverage, and shareholder returns rather than a vision that transcends distribution economics.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Cencora's purpose of 'improving the health of people and animals' is genuine but interchangeable with any healthcare company — McKesson and Cardinal Health articulate virtually identical missions. The cause has not shaped any strategic decisions that required sacrifice; the company's growth has followed pharmaceutical volume trends rather than purpose-driven choices [3]. The opioid crisis involvement (Cencora is aligned with the Investors for Opioid and Pharmaceutical Accountability) suggests the mission was not always prioritized over commercial interests.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Cencora maintains a 47,000-person workforce with a functional leadership structure. The CEO transition from Steven Collis (who became Executive Chair) to Robert Mauch (PharmD, PhD) in October 2024 was managed through orderly succession planning [3]. The appointment of Pawan Verma as EVP &amp; CDIO suggests investment in organizational capability. However, no specific data on employee engagement, psychological safety, or cultural practices distinguishing Cencora from peers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Cencora's competitive positioning within the Big Three pharmaceutical distribution oligopoly focuses on market share, operational scale, and earnings growth rather than learning from competitors' strengths. No evidence of management commentary acknowledging McKesson's or Cardinal Health's advantages or framing competition as motivation for self-improvement was identified [1][3].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Cencora has evolved from traditional drug distribution to specialty pharmaceutical logistics, international commercialization services, GLP-1 distribution, and animal health — entering adjacent markets that leverage its distribution infrastructure [1]. The AmerisourceBergen-to-Cencora rebrand signaled strategic evolution. However, these are incremental extensions of the core distribution business rather than transformative pivots, and the company has not abandoned any profitable business line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rebrand from the established AmerisourceBergen name to Cencora required organizational courage and involved real transition costs and customer communication risk. The expansion into specialty distribution and GLP-1 products required investment ahead of demand. However, these decisions were financially motivated (margin improvement, growth positioning) rather than driven by a higher purpose, and the company's opioid distribution history suggests leadership has not always prioritized principle over profit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Cencora at 15.84x forward earnings with a PEG of 0.66 offers rare growth-at-a-reasonable-price in healthcare distribution — the company raised FY2026 adjusted EPS guidance to $17.75-$17.95 with 12% EPS growth and 13-14% adjusted operating income growth, driven by specialty distribution and GLP-1 product volumes exceeding $2.3B quarterly [1]. The Big Three distribution oligopoly creates a structural moat with massive scale barriers to entry, regulatory requirements (DEA licensing, cold chain compliance), and deeply integrated customer relationships. Revenue of $84.8B quarterly positions Cencora to capture secular growth in pharmaceutical spending (specialty drugs, biosimilars, GLP-1 class expansion). The 96.87% ROE, while amplified by leverage, demonstrates efficient capital deployment, and the 0.66 PEG ratio suggests the market undervalues the earnings growth trajectory.</w:t>
      </w:r>
    </w:p>
    <w:p>
      <w:pPr>
        <w:spacing w:after="120"/>
      </w:pPr>
      <w:r>
        <w:rPr>
          <w:rFonts w:ascii="Calibri" w:hAnsi="Calibri"/>
          <w:b w:val="0"/>
          <w:color w:val="3A4A28"/>
          <w:sz w:val="20"/>
        </w:rPr>
        <w:t>The bear case centers on extreme leverage, razor-thin margins, and structural business model limitations. D/E of 446.52% is far above the 300% floor, reflecting a capital structure that leaves minimal room for error — any disruption to pharmaceutical volume or pricing could rapidly impair debt service capacity [5]. Profit margin of just 0.79% means Cencora earns less than one cent on every dollar of revenue, and even small pricing pressure from manufacturer consolidation or generic competition compresses earnings disproportionately. The Inspire Impact Score of -75 (MISALIGNED) due to Abortifacients and LGBT Activism attributions will exclude COR from many faith-based portfolios. The opioid distribution history creates ongoing legal and reputational overhang. Revenue growth of 5.1% YoY is pedestrian for a $60B market cap company, and the Big Three distribution model faces long-term risk from manufacturer direct-to-patient models, specialty pharmacy vertical integration, and Amazon Pharmacy's entry into drug distribution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GLP-1 diabetes and weight-loss drug distribution exceeding $2.3B quarterly, with the expanding class (semaglutide, tirzepatide) driving volume growth as patient adoption accelerates and new indications are approved [1]</w:t>
      </w:r>
    </w:p>
    <w:p>
      <w:pPr>
        <w:spacing w:before="40" w:after="40"/>
        <w:ind w:left="283"/>
      </w:pPr>
      <w:r>
        <w:rPr>
          <w:rFonts w:ascii="Calibri" w:hAnsi="Calibri"/>
          <w:b/>
          <w:color w:val="4A6B25"/>
          <w:sz w:val="20"/>
        </w:rPr>
        <w:t xml:space="preserve">2. </w:t>
      </w:r>
      <w:r>
        <w:rPr>
          <w:rFonts w:ascii="Calibri" w:hAnsi="Calibri"/>
          <w:b w:val="0"/>
          <w:color w:val="3A4A28"/>
          <w:sz w:val="20"/>
        </w:rPr>
        <w:t>Raised FY2026 adjusted EPS guidance to $17.75-$17.95 with 13-14% adjusted operating income growth reflecting specialty distribution mix shift toward higher-margin products [1]</w:t>
      </w:r>
    </w:p>
    <w:p>
      <w:pPr>
        <w:spacing w:before="40" w:after="40"/>
        <w:ind w:left="283"/>
      </w:pPr>
      <w:r>
        <w:rPr>
          <w:rFonts w:ascii="Calibri" w:hAnsi="Calibri"/>
          <w:b/>
          <w:color w:val="4A6B25"/>
          <w:sz w:val="20"/>
        </w:rPr>
        <w:t xml:space="preserve">3. </w:t>
      </w:r>
      <w:r>
        <w:rPr>
          <w:rFonts w:ascii="Calibri" w:hAnsi="Calibri"/>
          <w:b w:val="0"/>
          <w:color w:val="3A4A28"/>
          <w:sz w:val="20"/>
        </w:rPr>
        <w:t>Big Three oligopoly structure providing structural pricing stability and barriers to entry — new pharmaceutical distribution entrants face ~$50B+ minimum scale requirements, DEA licensing, and cold chain infrastructure costs that effectively prevent disruption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D/E of 446.52% leaves minimal financial flexibility — interest rate increases, volume declines, or pricing pressure could impair debt service on a business earning just 0.79% profit margins [5]</w:t>
      </w:r>
    </w:p>
    <w:p>
      <w:pPr>
        <w:spacing w:before="40" w:after="40"/>
        <w:ind w:left="283"/>
      </w:pPr>
      <w:r>
        <w:rPr>
          <w:rFonts w:ascii="Calibri" w:hAnsi="Calibri"/>
          <w:b/>
          <w:color w:val="4A6B25"/>
          <w:sz w:val="20"/>
        </w:rPr>
        <w:t xml:space="preserve">2. </w:t>
      </w:r>
      <w:r>
        <w:rPr>
          <w:rFonts w:ascii="Calibri" w:hAnsi="Calibri"/>
          <w:b w:val="0"/>
          <w:color w:val="3A4A28"/>
          <w:sz w:val="20"/>
        </w:rPr>
        <w:t>Inspire Impact Score of -75 (MISALIGNED) with negative attributions for Abortifacients and LGBT Activism excludes COR from faith-based portfolios and values-driven institutional investors</w:t>
      </w:r>
    </w:p>
    <w:p>
      <w:pPr>
        <w:spacing w:before="40" w:after="40"/>
        <w:ind w:left="283"/>
      </w:pPr>
      <w:r>
        <w:rPr>
          <w:rFonts w:ascii="Calibri" w:hAnsi="Calibri"/>
          <w:b/>
          <w:color w:val="4A6B25"/>
          <w:sz w:val="20"/>
        </w:rPr>
        <w:t xml:space="preserve">3. </w:t>
      </w:r>
      <w:r>
        <w:rPr>
          <w:rFonts w:ascii="Calibri" w:hAnsi="Calibri"/>
          <w:b w:val="0"/>
          <w:color w:val="3A4A28"/>
          <w:sz w:val="20"/>
        </w:rPr>
        <w:t>Long-term disintermediation risk as pharmaceutical manufacturers explore direct-to-patient models, specialty pharmacies vertically integrate distribution, and Amazon Pharmacy scales its healthcare logistics capabilities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Pharmaceutical distribution is fundamentally a physical-world logistics operation — warehousing, cold chain management, regulatory compliance (DEA Schedule II handling), and last-mile delivery to hospitals and pharmacies require extensive physical infrastructure that AI cannot displace [1]. The Big Three distribution oligopoly (McKesson, Cencora, Cardinal Health) is protected by massive scale requirements, regulatory barriers, and deeply integrated customer relationships with switching costs. However, AI could optimize supply chain logistics and potentially disintermediate some value-added services (analytics, market access consulting) that Cencora provides to pharmaceutical manufacturers. AI Opportunity (0/1): Cencora has deployed an AI voice agent for internal insurance verification, but this is a cost-reduction tool, not a revenue-generating AI product; no meaningful AI-derived revenue has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Cencora Q3 FY2026 Earnings — Revenue $84.8B (+5.1%), Adjusted EPS $4.48 (+12%), GLP-1 Sales $2.3B+, Raised FY2026 EPS Guidance to $17.75-$17.95, July 2026</w:t>
      </w:r>
    </w:p>
    <w:p>
      <w:pPr>
        <w:spacing w:before="20" w:after="20"/>
        <w:ind w:left="170"/>
      </w:pPr>
      <w:r>
        <w:rPr>
          <w:rFonts w:ascii="Calibri" w:hAnsi="Calibri"/>
          <w:b/>
          <w:color w:val="4A6B25"/>
          <w:sz w:val="15"/>
        </w:rPr>
        <w:t xml:space="preserve">2. </w:t>
      </w:r>
      <w:r>
        <w:rPr>
          <w:rFonts w:ascii="Calibri" w:hAnsi="Calibri"/>
          <w:b w:val="0"/>
          <w:color w:val="3A4A28"/>
          <w:sz w:val="17"/>
        </w:rPr>
        <w:t>Cencora Q1 FY2026 Earnings — Revenue $85.9B (+5.5%), GAAP EPS $2.87 vs. $2.50 Prior Year, January 2026</w:t>
      </w:r>
    </w:p>
    <w:p>
      <w:pPr>
        <w:spacing w:before="20" w:after="20"/>
        <w:ind w:left="170"/>
      </w:pPr>
      <w:r>
        <w:rPr>
          <w:rFonts w:ascii="Calibri" w:hAnsi="Calibri"/>
          <w:b/>
          <w:color w:val="4A6B25"/>
          <w:sz w:val="15"/>
        </w:rPr>
        <w:t xml:space="preserve">3. </w:t>
      </w:r>
      <w:r>
        <w:rPr>
          <w:rFonts w:ascii="Calibri" w:hAnsi="Calibri"/>
          <w:b w:val="0"/>
          <w:color w:val="3A4A28"/>
          <w:sz w:val="17"/>
        </w:rPr>
        <w:t>Cencora Leadership — CEO Robert P. Mauch, PharmD, PhD (Since Oct 2024), EVP &amp; CDIO Pawan Verma, AI Voice Agent Deployment — Cencora Newsroom, IMD, 2024-2026</w:t>
      </w:r>
    </w:p>
    <w:p>
      <w:pPr>
        <w:spacing w:before="20" w:after="20"/>
        <w:ind w:left="170"/>
      </w:pPr>
      <w:r>
        <w:rPr>
          <w:rFonts w:ascii="Calibri" w:hAnsi="Calibri"/>
          <w:b/>
          <w:color w:val="4A6B25"/>
          <w:sz w:val="15"/>
        </w:rPr>
        <w:t xml:space="preserve">4. </w:t>
      </w:r>
      <w:r>
        <w:rPr>
          <w:rFonts w:ascii="Calibri" w:hAnsi="Calibri"/>
          <w:b w:val="0"/>
          <w:color w:val="3A4A28"/>
          <w:sz w:val="17"/>
        </w:rPr>
        <w:t>Cencora ESG — Low ESG Risk Score 13 (6th Percentile), Opioid Accountability Engagement (IOPA), Board-Level ESG Oversight — Yahoo Finance Sustainability,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COR Key Statistics: Forward P/E 15.84x, ROE 96.87%, Profit Margin 0.79%, D/E 446.52%, PEG 0.66, Stock Price $313.80,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