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CPNG</w:t>
      </w:r>
      <w:r>
        <w:rPr>
          <w:rFonts w:ascii="Calibri" w:hAnsi="Calibri"/>
          <w:b/>
          <w:color w:val="1A2010"/>
          <w:sz w:val="40"/>
        </w:rPr>
        <w:t xml:space="preserve">  Coupang,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36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Internet Retail · NYSE · South Korea /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Coupang operates South Korea's largest e-commerce platform with Rocket Delivery logistics, plus Eats food delivery, Taiwan commerce and Farfetch luxury. Q2 2026 net revenue was $8.9B (+4% reported, +10% constant currency) with a net loss following a major customer data incident.</w:t>
      </w:r>
    </w:p>
    <w:p>
      <w:r>
        <w:rPr>
          <w:rFonts w:ascii="Calibri" w:hAnsi="Calibri"/>
          <w:b/>
          <w:color w:val="6E8450"/>
          <w:sz w:val="18"/>
        </w:rPr>
        <w:t>https://www.aboutcoupang.com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Coupang built Rocket Delivery fulfillment and expanded into Eats and Taiwan, where Developing Offerings revenue grew 24% constant currency in Q2 2026 to $1.4B [1]. AI Deployment (1/2): AI sorting robots, automated guided vehicles and generative-AI personalization are in operation, but no quantified AI savings are reported [2]. Market Share (2/2): Category leader in Korean e-commerce. Pipeline (1/2): Taiwan and Eats expansion are named but timelines are loose. R&amp;D Intensity (1/1): Technology spend is above retail peers, and $84M+ has been invested in AI startups since 2023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The 'wow the customer' mission is clear but not distinctive from other retailers. Community (1/2): General corporate philanthropy and ESG reporting, with no standout dollar-quantified program [3]. Employee Retention (0/2): Glassdoor shows 2.7/5 on culture and senior management, 54% would recommend, and a 'golden cage' pay-for-grind reputation [2]. Insider Buying (0/2): No net insider buying evidence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Growth sleeve, mechanical. D/E 188.6% (0.48), ROE -20.0% (0.0, 2x), revenue growth 3.9% (0.80), 5yr revenue CAGR ~23% (1.0, 2x, estimated from reported revenue history), forward P/E 50.6 (0.24), profit margin -2.2% (0.0); PEG unavailable and excluded. Weighted 3.52 of 8 gives 4. Daily dollar volume of about $239M clears the liquidity floor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Coupang invests heavily in logistics for long-term customer loyalty, but its cause reads as a retail mission rather than a Just Cause, the culture is described as top-down and high-pressure, and competitive framing is share-driven.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The customer-obsession purpose is real but interchangeable with other retailers and not shown to survive crisis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describes top-down decisions, shouting and shaming in meetings, 2.6/5 work-life balance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Competes on share and speed, and was fined for favoring its own products over supplier listings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Evolved from marketplace to owned logistics, Eats, Taiwan and luxury, but changes were incremental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Years of losses to build Rocket Delivery before profitability, and continued Taiwan and Eats investment while margins compress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Coupang is Korea's dominant e-commerce platform with $8.9B quarterly revenue growing 10% in constant currency, Developing Offerings (Eats, Taiwan) up 24%, and returning customers back to record spend after the data incident [1]. Rocket Delivery logistics density and AI-driven automation provide a durable moat, and growth is strong on a constant-currency basis.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profitability: Q1 2026 posted a $266M net loss and trailing losses reached $767M, ROE is -20%, D/E is 188.6%, and forward P/E is 50.6 on thin earnings [1]. A weak won cuts reported growth by about 600bps, a customer data breach and search-manipulation fine raise regulatory and trust costs, and Glassdoor shows a strained culture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Margin recovery as Taiwan and Eats scale; Developing Offerings grew 24% constant currency to $1.4B in Q2 2026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Product Commerce reacceleration as returning customers resume record spend after the data incident (+8% constant currency)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AI-driven fulfillment automation (sorting robots, AGVs) lowering unit costs in the Rocket network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net losses ($266M Q1 2026, $767M TTM) and 188.6% D/E limit financial flexibility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Korean regulatory and legal exposure from the customer data incident and the 3.29B won KFTC fine over search ranking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Weak won suppresses reported growth (4% reported vs 10% constant currency) and toxic-culture reviews risk talent attrition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Physical logistics, fulfillment density and Korean consumer habits are hard for AI to substitute, and AI is an efficiency tool via robotics and personalization [2]. Analysts flag search-algorithm manipulation (KFTC fine of 3.29B won) and AI-model risk rather than displacement. AI Opportunity (0/1): No quantified AI revenue is reported.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36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Coupang Q1 and Q2 2026 earnings releases and Investing.com summaries, May-August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Glassdoor Coupang reviews; Coupang AI startup investments (aboutcoupang.com); AI Incident Database #435,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Coupang FY2025 Form 10-K and ESG disclosures, SustainabilityTracker,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