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CPRI</w:t>
      </w:r>
      <w:r>
        <w:rPr>
          <w:rFonts w:ascii="Calibri" w:hAnsi="Calibri"/>
          <w:b/>
          <w:color w:val="1A2010"/>
          <w:sz w:val="40"/>
        </w:rPr>
        <w:t xml:space="preserve">  Capri Holdings Limited</w:t>
      </w:r>
    </w:p>
    <w:p>
      <w:pPr>
        <w:spacing w:after="120"/>
      </w:pPr>
      <w:r>
        <w:rPr>
          <w:rFonts w:ascii="Calibri" w:hAnsi="Calibri"/>
          <w:b/>
          <w:color w:val="6E8450"/>
          <w:sz w:val="18"/>
        </w:rPr>
        <w:t>GROWTH SLEEVE · 2026-09-04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Luxury Goods · NYSE · United States</w:t>
      </w:r>
    </w:p>
    <w:p>
      <w:pPr>
        <w:spacing w:after="80"/>
      </w:pPr>
      <w:r>
        <w:rPr>
          <w:rFonts w:ascii="Calibri" w:hAnsi="Calibri"/>
          <w:b w:val="0"/>
          <w:color w:val="3A4A28"/>
          <w:sz w:val="20"/>
        </w:rPr>
        <w:t>Capri Holdings is a global fashion luxury group operating two iconic brands: Michael Kors and Jimmy Choo. The company sold Versace to Prada Group during FY2026 after the failed $8.5B Tapestry merger was blocked by the FTC. CEO John D. Idol has led the company since 2003. FY2026 (ended March 2026) revenue was approximately $3.46B, down sharply from $4.44B in FY2025 due to the Versace divestiture. The company reported trailing twelve-month net income of $79M, returning to profitability after a $1.2B loss in FY2025 that included merger-related charges. Debt-to-equity of 245% reflects heavy leverage against a reduced equity base.</w:t>
      </w:r>
    </w:p>
    <w:p>
      <w:r>
        <w:rPr>
          <w:rFonts w:ascii="Calibri" w:hAnsi="Calibri"/>
          <w:b/>
          <w:color w:val="6E8450"/>
          <w:sz w:val="18"/>
        </w:rPr>
        <w:t>14,000 Employees · https://www.capriholdings.com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only meaningful strategic action in the last 5 years was the sale of Versace to Prada, a necessary restructuring move after the failed $8.5B Tapestry merger was blocked by the FTC [1]. This represents portfolio management — shedding a chronically underperforming brand — rather than innovation. Michael Kors, the core brand, has faced consistent revenue declines and market share erosion in the accessible luxury segment for multiple years. No successful product launches, market pivots, or business model transformations. AI Deployment (0/2): No evidence of AI-powered products, AI-driven cost savings, or meaningful AI strategy. The company's operations remain traditional fashion design, manufacturing, and retail. Market Share (0/2): Michael Kors has been steadily losing share in the accessible luxury segment to Coach (Tapestry), Kate Spade, and direct-to-consumer brands. The brand lacks the pricing power and exclusivity of true luxury, leaving it squeezed between fast fashion and high luxury [1]. Product Pipeline (0/2): No specific next-generation products, collections, or brand initiatives with named timelines and revenue visibility were identified. FY2027 guidance projects 'low single digit revenue growth' but without specific product-driven catalysts. R&amp;D Intensity (0/1): Fashion companies do not have traditional R&amp;D spending metrics. No evidence of above-average investment in design innovation, technology, or product development relative to luxury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Capri Holdings does not articulate a compelling mission or purpose beyond being a luxury fashion holding company. The company's public materials describe its brands (Michael Kors, Jimmy Choo) but offer no vision of why the company exists beyond making and selling luxury goods. This is generic and interchangeable with any fashion conglomerate [1]. Community Impact (0/2): No evidence of distinctive charitable programs, community investment, or philanthropic initiatives with specific dollar amounts. Standard corporate responsibility statements without measurable impact. Employee Retention (0/2): Reports of cultural challenges including 'unclear direction and frequently changing objectives,' 'people may not be prioritized by leadership,' and 'limited advancement opportunities dependent on team and manager' suggest a low-trust work environment rather than mission-driven retention [2]. Insider Buying (0/2): No evidence of meaningful net insider buying by CEO Idol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mixed results reflecting a highly leveraged turnaround. Debt-to-equity of 244.93% ($2.88B debt against $120M cash) scores poorly at 0.24 against the 70% target [3]. ROE of 152.07% scores at maximum, though this is inflated by the extremely low equity denominator resulting from high debt — not indicative of genuine capital efficiency. Revenue growth YoY of -22% (FY2026 $3.46B vs FY2025 $4.44B) is at the scoring floor, primarily driven by the Versace divestiture rather than organic decline [1]. Revenue growth 5yr CAGR of -1.75% scores 0.22 against the 10% target, reflecting steady erosion from the FY2022 peak of $5.65B. Forward P/E of 7.10x and Forward PEG of 0.39 both score at maximum, reflecting deep value pricing. Profit margin of 4.44% scores only 0.22 against the 20% target. Liquidity passes easily: avg daily volume ~3M shares at $13.24 = $39.7M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Capri Holdings is a textbook finite game player in Sinek's framework — a company that has pursued growth through financial engineering (the failed Tapestry merger, leveraged balance sheet, brand acquisition and disposal) rather than purpose-driven innovation. CEO Idol has led since 2003, but the strategic direction has shifted repeatedly: building a luxury conglomerate through acquisitions (Versace 2018, Jimmy Choo 2017), attempting to sell the entire company to Tapestry (2023), and then selling Versace to Prada (2025-2026) after the merger collapse. The company lacks a Just Cause, shows no evidence of organizational trust, and operates in a reactive mode driven by quarterly financial pressures.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Capri Holdings has no articulated Just Cause beyond being a luxury fashion holding company. The company's strategy has been purely financial — acquire brands (Jimmy Choo 2017, Versace 2018), attempt to sell itself (Tapestry merger 2023), and dispose of brands when they underperform (Versace to Prada 2025-2026) [1]. There is no vision of a future state the company is working to create, no enduring purpose beyond returns, and no evidence that purpose drives strategic decisions. The company exists to manage fashion brands for profit, which is a legitimate business but not a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indicators of a low-trust organizational environment. Employee reports describe 'unclear direction and frequently changing objectives,' 'people may not be prioritized by leadership,' and 'limited advancement opportunities dependent on team and manager' [2]. The failed Tapestry merger created 18 months of organizational limbo (2023-2024) during which employee morale and strategic clarity suffered. The departure of Chief Legal and Sustainability Officer Krista McDonough in June 2026 adds to leadership instability [3]. The constant strategic pivoting — from conglomerate-building to sell-off to restructuring — creates exactly the kind of organizational anxiety that Sinek identifies as the enemy of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Capri's management discusses competitors' strengths as motivation for self-improvement. The competitive narrative has been defensive — Michael Kors market share erosion, Versace underperformance, and the failed Tapestry merger all point to a company reacting to competitive pressure rather than learning from it.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sale of Versace to Prada represents a meaningful strategic restructuring — Capri abandoned its three-brand luxury conglomerate model to refocus on Michael Kors and Jimmy Choo [1]. While this could be interpreted as flexibility in service of a cause, it reads more as a forced retreat after Versace consistently underperformed and the Tapestry exit closed the preferred strategic option. The pivot was driven by circumstance rather than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Idol's leadership over the last 5 years has been characterized by reactive decisions rather than courageous ones. The Tapestry merger (2023) was an attempt to sell the company rather than invest in long-term capability. After FTC blocked the deal, the company pivoted to selling Versace rather than investing to turn it around. The 5yr revenue CAGR of -1.75% and steady market share erosion at Michael Kors suggest a company that has not made the difficult investments needed to revitalize its core brand [1]. No evidence of sacrificing short-term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Capri Holdings at 7.10x forward earnings is a deep value play on a post-restructuring turnaround. The company returned to profitability in FY2026 ($79M net income vs $1.2B loss in FY2025) and guides to low single-digit revenue growth and ~40% EPS growth in FY2027 [1]. The Versace divestiture to Prada simplifies the portfolio and allows management to focus exclusively on Michael Kors and Jimmy Choo. Forward PEG of 0.39 is deeply discounted versus the industry average of 0.99, suggesting the market prices in little to no growth recovery [3]. If Michael Kors can stabilize revenue and expand margins from the current 4.44% toward historical mid-teens levels, significant earnings leverage exists against the current depressed base.</w:t>
      </w:r>
    </w:p>
    <w:p>
      <w:pPr>
        <w:spacing w:after="120"/>
      </w:pPr>
      <w:r>
        <w:rPr>
          <w:rFonts w:ascii="Calibri" w:hAnsi="Calibri"/>
          <w:b w:val="0"/>
          <w:color w:val="3A4A28"/>
          <w:sz w:val="20"/>
        </w:rPr>
        <w:t>The bear case is substantial. Capri Holdings is a declining luxury fashion business with structural headwinds. Revenue has fallen from $5.65B (FY2022 peak) to $3.46B (FY2026) — a 39% decline in four years, and the 5yr CAGR of -1.75% understates the recent trajectory [1]. Michael Kors, the core remaining brand, has been losing share in the accessible luxury segment for years as consumers trade up to true luxury or down to fast fashion. Debt-to-equity of 245% ($2.88B debt vs $120M cash) creates fragility — any revenue shortfall or margin compression could trigger covenant concerns [3]. The failed Tapestry merger and subsequent Versace sale reflect strategic exhaustion rather than confident reinvention. CEO Idol has led since 2003, but under his tenure the company peaked in 2022 and has been in decline since. Profit margin of 4.44% leaves no cushion for execution missteps. The Inspire Impact Score of -49 (MISALIGNED) due to abortion activism will limit allocation from faith-based investors. Employee culture concerns and the departure of the Chief Legal/Sustainability Officer in June 2026 signal internal instability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Michael Kors brand stabilization and margin recovery — FY2027 guidance projects low single-digit revenue growth and ~40% EPS growth from the depressed FY2026 base, suggesting early turnaround momentum if executed [1]</w:t>
      </w:r>
    </w:p>
    <w:p>
      <w:pPr>
        <w:spacing w:before="40" w:after="40"/>
        <w:ind w:left="283"/>
      </w:pPr>
      <w:r>
        <w:rPr>
          <w:rFonts w:ascii="Calibri" w:hAnsi="Calibri"/>
          <w:b/>
          <w:color w:val="4A6B25"/>
          <w:sz w:val="20"/>
        </w:rPr>
        <w:t xml:space="preserve">2. </w:t>
      </w:r>
      <w:r>
        <w:rPr>
          <w:rFonts w:ascii="Calibri" w:hAnsi="Calibri"/>
          <w:b w:val="0"/>
          <w:color w:val="3A4A28"/>
          <w:sz w:val="20"/>
        </w:rPr>
        <w:t>Potential debt reduction from Versace sale proceeds, which could de-lever the 245% D/E ratio and reduce interest expense, improving the currently thin 4.44% profit margin</w:t>
      </w:r>
    </w:p>
    <w:p>
      <w:pPr>
        <w:spacing w:before="40" w:after="40"/>
        <w:ind w:left="283"/>
      </w:pPr>
      <w:r>
        <w:rPr>
          <w:rFonts w:ascii="Calibri" w:hAnsi="Calibri"/>
          <w:b/>
          <w:color w:val="4A6B25"/>
          <w:sz w:val="20"/>
        </w:rPr>
        <w:t xml:space="preserve">3. </w:t>
      </w:r>
      <w:r>
        <w:rPr>
          <w:rFonts w:ascii="Calibri" w:hAnsi="Calibri"/>
          <w:b w:val="0"/>
          <w:color w:val="3A4A28"/>
          <w:sz w:val="20"/>
        </w:rPr>
        <w:t>Deep value re-rating if the company delivers on FY2027 growth guidance — at 7.10x forward earnings and 0.39 PEG, any sustained growth recovery could drive significant multiple expansion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Michael Kors brand erosion continues — the accessible luxury segment faces structural pressure from fast fashion (Shein, Zara) trading up and true luxury (LVMH, Hermes) trading down, potentially rendering Michael Kors' mid-market positioning unviable [1]</w:t>
      </w:r>
    </w:p>
    <w:p>
      <w:pPr>
        <w:spacing w:before="40" w:after="40"/>
        <w:ind w:left="283"/>
      </w:pPr>
      <w:r>
        <w:rPr>
          <w:rFonts w:ascii="Calibri" w:hAnsi="Calibri"/>
          <w:b/>
          <w:color w:val="4A6B25"/>
          <w:sz w:val="20"/>
        </w:rPr>
        <w:t xml:space="preserve">2. </w:t>
      </w:r>
      <w:r>
        <w:rPr>
          <w:rFonts w:ascii="Calibri" w:hAnsi="Calibri"/>
          <w:b w:val="0"/>
          <w:color w:val="3A4A28"/>
          <w:sz w:val="20"/>
        </w:rPr>
        <w:t>Leverage risk from 245% D/E with $2.88B debt against only $120M cash — any revenue shortfall or margin compression could create covenant pressure and limit strategic flexibility [3]</w:t>
      </w:r>
    </w:p>
    <w:p>
      <w:pPr>
        <w:spacing w:before="40" w:after="40"/>
        <w:ind w:left="283"/>
      </w:pPr>
      <w:r>
        <w:rPr>
          <w:rFonts w:ascii="Calibri" w:hAnsi="Calibri"/>
          <w:b/>
          <w:color w:val="4A6B25"/>
          <w:sz w:val="20"/>
        </w:rPr>
        <w:t xml:space="preserve">3. </w:t>
      </w:r>
      <w:r>
        <w:rPr>
          <w:rFonts w:ascii="Calibri" w:hAnsi="Calibri"/>
          <w:b w:val="0"/>
          <w:color w:val="3A4A28"/>
          <w:sz w:val="20"/>
        </w:rPr>
        <w:t>CEO strategic credibility risk — John Idol's track record over the last 5 years (failed Tapestry merger, forced Versace sale, 39% revenue decline from peak, market share losses) raises questions about whether current management can execute a turnaround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Capri Holdings' core business involves physical luxury goods — designing, manufacturing, and retailing handbags, shoes, and apparel under the Michael Kors and Jimmy Choo brands. AI cannot replicate the tactile luxury experience, brand heritage, craftsmanship, or social signaling that drives luxury purchases [1]. Physical retail stores, supply chain management, and product manufacturing create structural moats. However, Michael Kors occupies the 'accessible luxury' segment where AI-powered fast fashion competitors (Shein's AI-driven trend identification and production) could accelerate market share erosion by making trend-responsive fashion available at lower price points. The accessible luxury position is more vulnerable than true luxury (Hermes, LVMH) because the brand premium is smaller and more easily compressed. AI Opportunity (0/1): No AI-related revenue or products. No evidence of meaningful AI adoption in design, supply chain, or customer engagement.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Capri Holdings FY2026 Q4 and Full Year Results — Revenue ~$3.46B (-22% YoY), Net Income $79M, FY2027 Guidance: Low Single-Digit Revenue Growth, ~40% EPS Growth, Versace Divestiture, capriholdings.com, June 2026</w:t>
      </w:r>
    </w:p>
    <w:p>
      <w:pPr>
        <w:spacing w:before="20" w:after="20"/>
        <w:ind w:left="170"/>
      </w:pPr>
      <w:r>
        <w:rPr>
          <w:rFonts w:ascii="Calibri" w:hAnsi="Calibri"/>
          <w:b/>
          <w:color w:val="4A6B25"/>
          <w:sz w:val="15"/>
        </w:rPr>
        <w:t xml:space="preserve">2. </w:t>
      </w:r>
      <w:r>
        <w:rPr>
          <w:rFonts w:ascii="Calibri" w:hAnsi="Calibri"/>
          <w:b w:val="0"/>
          <w:color w:val="3A4A28"/>
          <w:sz w:val="17"/>
        </w:rPr>
        <w:t>Built In, Fortune — Capri Holdings Workplace Culture: Unclear Direction, Changing Objectives, Limited Advancement; CEO John Idol Since 2003,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TipRanks, StockAnalysis, Yahoo Finance — CPRI Key Statistics: Forward P/E 7.10x, D/E 244.93%, ROE 152.07%, PEG 0.39, Profit Margin 4.44%, Stock Price $13.24, Krista McDonough Departure June 2026,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