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CPRX</w:t>
      </w:r>
      <w:r>
        <w:rPr>
          <w:rFonts w:ascii="Calibri" w:hAnsi="Calibri"/>
          <w:b/>
          <w:color w:val="1A2010"/>
          <w:sz w:val="40"/>
        </w:rPr>
        <w:t xml:space="preserve">  Catalyst Pharmaceuticals, Inc.</w:t>
      </w:r>
    </w:p>
    <w:p>
      <w:pPr>
        <w:spacing w:after="120"/>
      </w:pPr>
      <w:r>
        <w:rPr>
          <w:rFonts w:ascii="Calibri" w:hAnsi="Calibri"/>
          <w:b/>
          <w:color w:val="6E8450"/>
          <w:sz w:val="18"/>
        </w:rPr>
        <w:t>GROWTH SLEEVE · 2026-09-24 · Inspire: 27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Catalyst Pharmaceuticals is a specialty biopharmaceutical company focused on rare neurological and neuromuscular diseases. The company's lead product FIRDAPSE (amifampridine) is the only FDA-approved treatment for Lambert-Eaton myasthenic syndrome (LEMS), and the portfolio includes AGAMREE (vamorolone) for Duchenne muscular dystrophy and FYCOMPA (perampanel) for epilepsy. Catalyst reported Q1 2026 total revenues of $149.4M with FIRDAPSE revenue of $98.9M (+18.1% YoY) and AGAMREE revenue of $36.7M (+66.6% YoY). The company guides FY2026 revenue of $615-645M, reflecting 15-20% growth. Market cap approximately $3.86B. Note: yfinance data was unavailable; metrics sourced from web research.</w:t>
      </w:r>
    </w:p>
    <w:p>
      <w:r>
        <w:rPr>
          <w:rFonts w:ascii="Calibri" w:hAnsi="Calibri"/>
          <w:b/>
          <w:color w:val="6E8450"/>
          <w:sz w:val="18"/>
        </w:rPr>
        <w:t>250 Employees · https://www.catalystpharma.com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Catalyst has successfully executed multiple product acquisitions and launches that diversified the company from a single-product FIRDAPSE story — AGAMREE (acquired from Santhera, growing 66.6% YoY to $36.7M in Q1 2026) and FYCOMPA (acquired from Eisai, contributing $40-45M annually) opened new revenue streams in Duchenne muscular dystrophy and epilepsy respectively [1][2]. These are acquisition-driven additions rather than de novo innovation, but they demonstrate successful execution in rare disease commercialization. AI Deployment (0/2): No AI-powered products, AI strategy, or quantified AI-driven operational efficiencies have been reported; as a 250-person specialty pharma company, AI deployment is not a strategic priority [3]. Market Share (2/2): FIRDAPSE holds a dominant market position as the only FDA-approved treatment for Lambert-Eaton myasthenic syndrome (LEMS), providing orphan drug exclusivity and near-100% market share in this rare disease indication — a category Catalyst effectively defines [1][2]. Product Pipeline (1/2): FIRDAPSE ($435-450M guidance, +21-26% growth), AGAMREE ($140-150M guidance, +20-28% growth), and FYCOMPA ($40-45M guidance) provide clear revenue visibility, but no specific next-generation pipeline candidates beyond these three products have been publicly disclosed [2]. R&amp;D Intensity (0/1): As a commercially-focused specialty pharma company, Catalyst's R&amp;D spending is modest relative to revenue; the company relies primarily on acquisitions and in-licensing rather than internal drug discovery.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Catalyst's purpose — 'improving the lives of people living with rare and difficult-to-treat conditions' — is specific, thoughtful, and connects the company's work to a larger purpose beyond profit [3]. The focus on rare diseases where patients have few or no treatment alternatives demonstrates genuine intentionality. The expanded access programs and patient affordability initiatives align commercial activity with the stated purpose. This differentiates meaningfully from generic pharma missions. Community Impact (1/2): Catalyst's expanded access programs ensure patients receive FIRDAPSE regardless of ability to pay, and the company's ESG report highlights patient access and affordability as core commitments [4]. These are meaningful but directly tied to product commercialization rather than representing independent community investment. Employee Retention (0/2): With approximately 250 employees, the company is too small for public retention data. CEO Richard Daly was appointed in January 2024, succeeding founder Patrick McEnany who remains as Chairman — a smooth succession [3]. Insider Buying (0/2): No evidence of meaningful net insider buying by CEO Richard Daly or other executives was identified in the most recent 12-month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using web-sourced metrics (yfinance unavailable). Catalyst demonstrates exceptional financial strength across all measured dimensions: zero debt (D/E 0%, scoring 1.0), ROE of 25.49% well above the 15% target (scoring 1.0 with 2x weight), and profit margin estimated at ~45% reflecting the high margins of orphan drug pricing — far above the 20% target [5]. Revenue growth of ~17% YoY exceeds the 10% target, and the estimated 5-year revenue CAGR of ~37% (from ~$130M in 2021 to ~$630M in 2026) reflects transformative growth from FIRDAPSE, AGAMREE, and FYCOMPA launches [1][2]. Forward P/E of 10.21x is deeply discounted versus the 20x target, and the PEG ratio of 0.14 (reflecting high expected growth) scores a perfect 1.0 with 2x weight. Estimated daily liquidity of ~$47M comfortably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Catalyst demonstrates genuine purpose in serving rare disease patients with limited treatment options — the expanded access programs and affordability commitments reflect a company that cares about its patients beyond commercial transactions. However, as a small specialty pharma ($3.86B market cap, ~250 employees) that has grown primarily through acquisitions rather than internal innovation, the company's long-term staying power depends on its ability to continue acquiring and commercializing products. The CEO transition from founder Patrick McEnany to Richard Daly in January 2024 was smooth but introduces uncertainty about whether the founder's rare disease commitment will persist.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Catalyst's purpose of improving lives for people with rare and difficult-to-treat conditions is genuine and partially lived — the company provides FIRDAPSE through expanded access regardless of ability to pay, and the focus on LEMS, Duchenne muscular dystrophy, and epilepsy demonstrates commitment to underserved patient populations [3][4]. The cause shapes commercial decisions (pricing, access programs) and differentiates from pharma companies focused primarily on blockbuster indications. However, the company is relatively young and the cause has not yet been tested through major crisis or multi-decade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Catalyst's lean ~250-person organization enables close working relationships and direct leadership access. The succession from founder Patrick McEnany (who remains as Chairman) to CEO Richard Daly was managed through deliberate planning, with Daly bringing relevant rare disease and commercial leadership experience from AstraZeneca and Beyond Springs [3]. However, no specific data on employee engagement, psychological safety, or cultural practices was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Catalyst acknowledging competitors' strengths or using competitive pressure for self-improvement was found. In the rare disease space, Catalyst holds near-monopoly positions (FIRDAPSE for LEMS) that reduce competitive pressure [1]. The company's competitive language, where present, focuses on maintaining market exclusivity rather than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Catalyst evolved from a single-product company (FIRDAPSE for LEMS) to a multi-product rare disease portfolio through the acquisitions of AGAMREE and FYCOMPA, diversifying revenue risk and expanding the addressable patient population [1][2]. This represents meaningful strategic evolution from a concentration risk perspective. However, the expansion is incremental (adding products in adjacent rare disease areas) rather than a transformative pivot that fundamentally redefined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Catalyst's acquisitions of AGAMREE (from Santhera) and FYCOMPA (from Eisai) required meaningful capital deployment and integration risk for a small company, demonstrating willingness to invest in growth [1][2]. The expanded access programs and patient affordability commitments sacrifice some revenue for principle. However, these are primarily financially motivated growth decisions rather than costly long-term bets made in service of a larger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Catalyst Pharmaceuticals at 10.21x forward earnings with zero debt and 25.49% ROE offers exceptional value in rare disease pharma — a sub-sector characterized by durable orphan drug exclusivity, limited competition, and patient populations with no treatment alternatives. FY2026 revenue guidance of $615-645M represents 15-20% growth driven by FIRDAPSE ($435-450M, +21-26%), AGAMREE ($140-150M, +20-28%), and FYCOMPA ($40-45M), with AGAMREE's 66.6% YoY growth in Q1 demonstrating rapid market adoption [1][2]. The PEG ratio of 0.14 signals that the market significantly undervalues the growth trajectory. The ~45% profit margin reflects the pricing power inherent in orphan drug designations, and the zero-debt balance sheet provides maximum financial flexibility for further acquisitions. The Inspire Impact Score of 27 (ALIGNED) with no negative attributions supports faith-based allocation.</w:t>
      </w:r>
    </w:p>
    <w:p>
      <w:pPr>
        <w:spacing w:after="120"/>
      </w:pPr>
      <w:r>
        <w:rPr>
          <w:rFonts w:ascii="Calibri" w:hAnsi="Calibri"/>
          <w:b w:val="0"/>
          <w:color w:val="3A4A28"/>
          <w:sz w:val="20"/>
        </w:rPr>
        <w:t>The bear case centers on product concentration risk, acquisition dependency, and small-company fragility. FIRDAPSE represents approximately 65% of total revenue — any competitive entry, generic challenge to orphan exclusivity, or adverse safety event could be catastrophic to a company with only three marketed products [1]. Growth has been primarily acquisition-driven (AGAMREE from Santhera, FYCOMPA from Eisai) rather than from internal drug discovery, making future growth dependent on the availability and pricing of attractive acquisition targets — and as Catalyst's market cap approaches $4B, targets become more expensive relative to the company's size. The ~250-person organization creates key-person risk and limited commercial infrastructure for additional product launches. CEO Richard Daly joined only in January 2024, and while his commercial leadership background (AstraZeneca, Beyond Springs) is relevant, he has not yet navigated a full product cycle or crisis at Catalyst [3]. The rare disease pharma sector is attracting increased competition from larger companies (Alexion/AstraZeneca, Sarepta), which could intensify pricing pressure on Catalyst's niche indications.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AGAMREE revenue acceleration — Q1 2026 growth of 66.6% YoY to $36.7M with FY2026 guidance of $140-150M suggests rapid market adoption for Duchenne muscular dystrophy, and the total addressable patient population has room for continued penetration [1]</w:t>
      </w:r>
    </w:p>
    <w:p>
      <w:pPr>
        <w:spacing w:before="40" w:after="40"/>
        <w:ind w:left="283"/>
      </w:pPr>
      <w:r>
        <w:rPr>
          <w:rFonts w:ascii="Calibri" w:hAnsi="Calibri"/>
          <w:b/>
          <w:color w:val="4A6B25"/>
          <w:sz w:val="20"/>
        </w:rPr>
        <w:t xml:space="preserve">2. </w:t>
      </w:r>
      <w:r>
        <w:rPr>
          <w:rFonts w:ascii="Calibri" w:hAnsi="Calibri"/>
          <w:b w:val="0"/>
          <w:color w:val="3A4A28"/>
          <w:sz w:val="20"/>
        </w:rPr>
        <w:t>Deeply discounted valuation at 10.21x forward earnings and 0.14 PEG ratio for a company growing revenue 15-20% with 45% profit margins and zero debt — significant re-rating potential if the market recognizes the quality of the earnings stream [5]</w:t>
      </w:r>
    </w:p>
    <w:p>
      <w:pPr>
        <w:spacing w:before="40" w:after="40"/>
        <w:ind w:left="283"/>
      </w:pPr>
      <w:r>
        <w:rPr>
          <w:rFonts w:ascii="Calibri" w:hAnsi="Calibri"/>
          <w:b/>
          <w:color w:val="4A6B25"/>
          <w:sz w:val="20"/>
        </w:rPr>
        <w:t xml:space="preserve">3. </w:t>
      </w:r>
      <w:r>
        <w:rPr>
          <w:rFonts w:ascii="Calibri" w:hAnsi="Calibri"/>
          <w:b w:val="0"/>
          <w:color w:val="3A4A28"/>
          <w:sz w:val="20"/>
        </w:rPr>
        <w:t>Acquisition optionality with a zero-debt balance sheet and strong free cash flow generation enabling Catalyst to pursue additional rare disease product acquisitions that could diversify the portfolio beyond three products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FIRDAPSE concentration risk — ~65% of revenue from a single orphan drug for LEMS creates existential vulnerability to generic challenges, competitive entries, safety signals, or payor pushback on orphan drug pricing [1][2]</w:t>
      </w:r>
    </w:p>
    <w:p>
      <w:pPr>
        <w:spacing w:before="40" w:after="40"/>
        <w:ind w:left="283"/>
      </w:pPr>
      <w:r>
        <w:rPr>
          <w:rFonts w:ascii="Calibri" w:hAnsi="Calibri"/>
          <w:b/>
          <w:color w:val="4A6B25"/>
          <w:sz w:val="20"/>
        </w:rPr>
        <w:t xml:space="preserve">2. </w:t>
      </w:r>
      <w:r>
        <w:rPr>
          <w:rFonts w:ascii="Calibri" w:hAnsi="Calibri"/>
          <w:b w:val="0"/>
          <w:color w:val="3A4A28"/>
          <w:sz w:val="20"/>
        </w:rPr>
        <w:t>Acquisition dependency for growth — with no disclosed internal pipeline, Catalyst must continue sourcing external products, and attractive rare disease assets are increasingly contested by larger, better-capitalized acquirers like Alexion/AstraZeneca and Sarepta [2]</w:t>
      </w:r>
    </w:p>
    <w:p>
      <w:pPr>
        <w:spacing w:before="40" w:after="40"/>
        <w:ind w:left="283"/>
      </w:pPr>
      <w:r>
        <w:rPr>
          <w:rFonts w:ascii="Calibri" w:hAnsi="Calibri"/>
          <w:b/>
          <w:color w:val="4A6B25"/>
          <w:sz w:val="20"/>
        </w:rPr>
        <w:t xml:space="preserve">3. </w:t>
      </w:r>
      <w:r>
        <w:rPr>
          <w:rFonts w:ascii="Calibri" w:hAnsi="Calibri"/>
          <w:b w:val="0"/>
          <w:color w:val="3A4A28"/>
          <w:sz w:val="20"/>
        </w:rPr>
        <w:t>Small-company fragility — ~250 employees, $3.86B market cap, and a new CEO (since Jan 2024) create limited organizational depth and key-person risk that larger pharma competitors do not face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Rare disease pharmaceuticals are structurally immune to AI disruption — FIRDAPSE, AGAMREE, and FYCOMPA are FDA-approved drugs protected by orphan drug exclusivity, regulatory moats, and the irreplaceable nature of pharmaceutical molecules [1][2]. AI cannot substitute for amifampridine in treating LEMS patients, vamorolone for Duchenne muscular dystrophy patients, or perampanel for epilepsy patients. The rare disease space actually benefits from AI through improved patient identification (machine learning can flag potential LEMS patients from electronic health records) and drug discovery acceleration. Catalyst's small patient populations and specialty distribution model are not threatened by AI-driven efficiency or disintermediation. AI Opportunity (0/1): No AI-related revenue products or services have been identified; Catalyst's commercial model is traditional specialty pharmaceutical sales and distribution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Catalyst Pharmaceuticals Q1 2026 Earnings — Revenue $149.4M, FIRDAPSE $98.9M (+18.1%), AGAMREE $36.7M (+66.6%), FYCOMPA $13.7M, May 2026</w:t>
      </w:r>
    </w:p>
    <w:p>
      <w:pPr>
        <w:spacing w:before="20" w:after="20"/>
        <w:ind w:left="170"/>
      </w:pPr>
      <w:r>
        <w:rPr>
          <w:rFonts w:ascii="Calibri" w:hAnsi="Calibri"/>
          <w:b/>
          <w:color w:val="4A6B25"/>
          <w:sz w:val="15"/>
        </w:rPr>
        <w:t xml:space="preserve">2. </w:t>
      </w:r>
      <w:r>
        <w:rPr>
          <w:rFonts w:ascii="Calibri" w:hAnsi="Calibri"/>
          <w:b w:val="0"/>
          <w:color w:val="3A4A28"/>
          <w:sz w:val="17"/>
        </w:rPr>
        <w:t>Catalyst Pharmaceuticals FY2025 Record Results and FY2026 Guidance — Total Revenue $615-645M, FIRDAPSE $435-450M (+21-26%), AGAMREE $140-150M (+20-28%), FYCOMPA $40-45M, February 2026</w:t>
      </w:r>
    </w:p>
    <w:p>
      <w:pPr>
        <w:spacing w:before="20" w:after="20"/>
        <w:ind w:left="170"/>
      </w:pPr>
      <w:r>
        <w:rPr>
          <w:rFonts w:ascii="Calibri" w:hAnsi="Calibri"/>
          <w:b/>
          <w:color w:val="4A6B25"/>
          <w:sz w:val="15"/>
        </w:rPr>
        <w:t xml:space="preserve">3. </w:t>
      </w:r>
      <w:r>
        <w:rPr>
          <w:rFonts w:ascii="Calibri" w:hAnsi="Calibri"/>
          <w:b w:val="0"/>
          <w:color w:val="3A4A28"/>
          <w:sz w:val="17"/>
        </w:rPr>
        <w:t>Catalyst Pharmaceuticals Leadership — CEO Richard J. Daly (Since Jan 2024), Chairman Patrick McEnany, Rare Disease Mission, Expanded Commercial Team — BioSpace, Corporate Website, 2024-2026</w:t>
      </w:r>
    </w:p>
    <w:p>
      <w:pPr>
        <w:spacing w:before="20" w:after="20"/>
        <w:ind w:left="170"/>
      </w:pPr>
      <w:r>
        <w:rPr>
          <w:rFonts w:ascii="Calibri" w:hAnsi="Calibri"/>
          <w:b/>
          <w:color w:val="4A6B25"/>
          <w:sz w:val="15"/>
        </w:rPr>
        <w:t xml:space="preserve">4. </w:t>
      </w:r>
      <w:r>
        <w:rPr>
          <w:rFonts w:ascii="Calibri" w:hAnsi="Calibri"/>
          <w:b w:val="0"/>
          <w:color w:val="3A4A28"/>
          <w:sz w:val="17"/>
        </w:rPr>
        <w:t>Catalyst Pharmaceuticals ESG Report 2024 — Expanded Access Programs, Patient Affordability Focus, Board-Level ESG Oversight — GlobeNewsWire, Corporate Website, 2025</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Nasdaq — CPRX Key Statistics: Forward P/E 10.21x, ROE 25.49%, D/E 0%, Market Cap $3.86B, PEG 0.14, Stock Price $31.49,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