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w:t>
      </w:r>
      <w:r>
        <w:rPr>
          <w:rFonts w:ascii="Calibri" w:hAnsi="Calibri"/>
          <w:b/>
          <w:color w:val="1A2010"/>
          <w:sz w:val="40"/>
        </w:rPr>
        <w:t xml:space="preserve">  Canadian Pacific Kansas City Limited</w:t>
      </w:r>
    </w:p>
    <w:p>
      <w:pPr>
        <w:spacing w:after="120"/>
      </w:pPr>
      <w:r>
        <w:rPr>
          <w:rFonts w:ascii="Calibri" w:hAnsi="Calibri"/>
          <w:b/>
          <w:color w:val="6E8450"/>
          <w:sz w:val="18"/>
        </w:rPr>
        <w:t>GROWTH SLEEVE · 2026-09-07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Railroads · NYSE · Canada</w:t>
      </w:r>
    </w:p>
    <w:p>
      <w:pPr>
        <w:spacing w:after="80"/>
      </w:pPr>
      <w:r>
        <w:rPr>
          <w:rFonts w:ascii="Calibri" w:hAnsi="Calibri"/>
          <w:b w:val="0"/>
          <w:color w:val="3A4A28"/>
          <w:sz w:val="20"/>
        </w:rPr>
        <w:t>Canadian Pacific Kansas City (CPKC) is the first and only transnational Class I railroad linking Canada, the United States, and Mexico via a single-line network of approximately 20,000 route miles. Formed by the April 2023 combination of Canadian Pacific and Kansas City Southern ($31B), CPKC is led by President and CEO Keith Creel (13+ year tenure). Q2 2026 revenues of C$4.2B (+13% YoY) with core adjusted EPS of C$1.27 (+13% YoY), rebounding strongly from Q1 weakness. Grain revenue surged 24% and free cash flow doubled to C$1B. Market cap ~$80B.</w:t>
      </w:r>
    </w:p>
    <w:p>
      <w:r>
        <w:rPr>
          <w:rFonts w:ascii="Calibri" w:hAnsi="Calibri"/>
          <w:b/>
          <w:color w:val="6E8450"/>
          <w:sz w:val="18"/>
        </w:rPr>
        <w:t>20,000 Employees · https://www.cpkcr.com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$31B combination of CP and Kansas City Southern in April 2023 created the only single-line tri-national railroad in North American history — a transformative strategic achievement [1]. Q2 2026 delivered C$4.2B revenue (+13% YoY) with grain revenue surging 24% and free cash flow doubling to C$1B, rebounding strongly from Q1 weakness and confirming the integration trajectory is intact [2]. AI Deployment (2/2): CPKC has deployed AI with measurable results: wayside acoustic bearing sensors using patented algorithms predict wheel bearing failures up to three months in advance, reducing bearing-related failures by more than 90% [3]. An AI-powered waterbody monitoring system scans 1.2 million waterbodies across 12,600 miles using remote sensing, with AI analyzing images and sending alerts for potential hazards [3]. Market Share (1/2): CPKC holds a unique and unreplicable competitive position as the only single-line rail connection across Canada, the US, and Mexico, but operates within a Class I railroad oligopoly where share dynamics are inherently constrained [3]. Pipeline (1/2): Hydrogen locomotive joint venture with CSX for decarbonization; $250M automotive synergy revenue delivered three years ahead of schedule; company is 'poised for accelerated growth in the second half of 2026' [2]. R&amp;D Intensity (0/1): Railroad capex of ~C$3B annually is infrastructure-focused rather than R&amp;D-intensive; technology investment is meaningful but at industry-average levels for Class I railroads.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CPKC frames its tri-national railroad as connecting North American supply chains more efficiently while reducing GHG emissions through rail's modal advantage over trucking — a specific, thoughtful mission that differentiates from single-country peers [3][4]. The vision of enabling nearshoring across three countries connects the company's work to a larger economic and environmental purpose. The five strategic foundations (Provide Service, Control Costs, Optimize Assets, Operate Safely, Develop People) demonstrate organizational intentionality. Community Impact (1/2): CPKC publishes annual sustainability reports with GHG and safety disclosures, SBTi-validated 2030 locomotive GHG reduction targets, and the 2026 Say on Climate vote received 88.72% shareholder approval [4]. However, the November 2025 Kamloops derailment that leaked ~70,000 litres of jet fuel into Kamloops Lake on traditional First Nations territory underscores ongoing environmental risk. Employee Retention (1/2): Keith Creel's 13+ year tenure as CEO (appointed February 2013, two-time Railway Age Railroader of the Year 2021 and 2022, Railroad Innovator Award 2024) demonstrates exceptional leadership continuity [5]. CPKC has secured labor stability through 2027 with all major labor contracts, a significant achievement given the 2024 industry-wide labor dispute that caused a nationwide freight shutdown. Insider Buying (0/2): No meaningful personal insider buying identified. The 5% share repurchase program and 17.5% quarterly dividend increase signal corporate capital return conviction but are not personal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D/E of 50% scores perfectly (1.0) against the 70% target — manageable leverage for a capital-intensive railroad with durable cash flows [6]. Profit margin of ~27.5% scores 1.0, reflecting strong operating efficiency with the precision scheduled railroading methodology [2]. Revenue growth YoY rebounded to 13% in Q2 2026, scoring 1.0, a significant improvement from the Q1 miss [2]. Forward P/E of 22.16 scores 0.95 (close to the 20x target), improved from 24.32 previously. Forward PEG of ~1.6 scores 0.70 (2x weight), reflecting premium but not excessive valuation for a compounding franchise. ROE of 8.64% scores 0.58 (2x weight) — constrained by the elevated equity base from the KCS combination. Revenue growth 5yr CAGR of ~9% (including KCS inorganic contribution) scores 0.93 (2x weight). Weighted sum: 8.26/10, rounding to 8. Liquidity passes: ~2.5M avg volume x $89 = ~$223M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CPKC under Keith Creel is playing a long-dated strategic game. The first-and-only tri-nation rail network is a multi-decade asset conceived through years of patient planning and regulatory navigation. Creel's 13-year tenure, consistent operating-ratio improvement, early delivery of $250M automotive synergies, and Q2 2026 recovery (13% revenue growth, FCF doubled to C$1B) show disciplined execution. However, the Kamloops derailment, 2024 labor dispute, and generic mission language temper the infinite-game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Connecting three nations with a single-line, lower-carbon freight network is a genuine and distinctive purpose that will outlast any individual CEO or economic cycle [3]. The modal shift from truck to rail is a measurable decarbonization lever aligned with climate goals, and the nearshoring thesis adds economic significance. However, the cause has only been operational since April 2023 and hasn't been tested through leadership transition or crisis — it remains partially lived rather than decades-validated.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Creel's 13-year tenure, the early delivery of CP-KCS integration synergies, and labor stability through 2027 (all major contracts secured after the 2024 industry-wide dispute) suggest adequate organizational trust [3][5]. The Q2 2026 rebound — grain +24%, FCF doubled — required coordinated execution across the tri-national workforce [2]. However, the 2024 Canada railway labor dispute involved CPKC initiating lockouts against Teamsters workers, resulting in a national freight shutdown requiring government intervention, which signals tension in labor relations despite subsequent contract resolutions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CPKC benchmarks explicitly against Union Pacific, BNSF, CN, Norfolk Southern, and CSX on operating ratio, velocity, and safety — an industry that tracks peer metrics openly [1]. The hydrogen locomotive JV with CSX demonstrates collaborative competition, and management language focuses on improving CPKC's own operating ratio and service quality rather than on defeating competitors [3].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$31B Kansas City Southern acquisition in April 2023 was a genuine existential pivot — transforming CP from a two-nation railroad into the only tri-national Class I franchise in North America, unlocking nearshoring exposure and Mexico-US-Canada cross-border volumes [3]. This was not incremental — it fundamentally redefined the company's competitive positioning and addressable market. Creel fought off a competing bid from CN and navigated three-country regulatory approval over multiple years, demonstrating strategic conviction.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multi-year pursuit and $31B closure of the KCS deal — fighting off CN's competing bid, navigating STB/Transport Canada/Mexico regulatory approvals, and taking on significant debt — demonstrates real conviction in the tri-national vision [3]. The 17.5% quarterly dividend increase and 5% share repurchase program demonstrate confidence in cash flow generation. However, the November 2025 Kamloops derailment (70,000 litres of jet fuel) and the 2024 labor lockout raise questions about whether operational safety and workforce trust were given sufficient priority during the aggressive integration push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Canadian Pacific Kansas City is the only tri-national Class I railroad in North America, an unreplicable franchise created by the $31B combination of CP and Kansas City Southern in April 2023 [3]. Q2 2026 demonstrated strong recovery with C$4.2B revenue (+13% YoY), grain revenue surging 24%, and free cash flow doubling to C$1B — rebounding decisively from Q1's disappointing -2% revenue miss [2]. Core adjusted EPS of C$1.27 (+13% YoY) with guidance for accelerated volume and earnings growth in H2 2026. At $89 with Forward PE of 22.2x and D/E of 50%, CPKC is priced as a premium compounder with improving fundamentals and durable cash flows from the only single-line Canada-US-Mexico rail network [6]. Keith Creel's 13-year tenure and proven execution (Q4 2025 record 55.9% OR, $250M automotive synergies delivered 3 years early) validate leadership quality [5].</w:t>
      </w:r>
    </w:p>
    <w:p>
      <w:pPr>
        <w:spacing w:after="120"/>
      </w:pPr>
      <w:r>
        <w:rPr>
          <w:rFonts w:ascii="Calibri" w:hAnsi="Calibri"/>
          <w:b w:val="0"/>
          <w:color w:val="3A4A28"/>
          <w:sz w:val="20"/>
        </w:rPr>
        <w:t>The bear case centers on growth sustainability, operational risks, and premium valuation. Despite Q2's strong rebound, a 53% spike in fuel costs pressured the operating ratio to 64.6% (up 90 bps YoY), showing cost vulnerability in an asset-heavy business [2]. The November 2025 Kamloops derailment (70,000 litres of jet fuel into Kamloops Lake on First Nations territory) creates environmental, reputational, and litigation risk that undermines the sustainability narrative [4]. The 2024 nationwide labor dispute, which required government intervention to resolve, signals underlying workforce tension despite subsequent contract extensions through 2027. CPKC's tri-national franchise is directly exposed to US-Mexico trade policy and tariff volatility — any disruption to nearshoring flows or cross-border volumes would compress the growth premium at the current 22.2x forward PE. ROE of 8.64% is modest for a premium-valued franchise, constrained by the elevated equity base from the KCS acquisition, and the 0.74% dividend yield offers minimal income support during drawdowns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Accelerated H2 2026 volume and earnings growth guided by management, building on Q2's 13% revenue growth and doubled free cash flow, driven by continued integration synergies and nearshoring-driven Mexico-US-Canada freight volumes [2]</w:t>
      </w:r>
    </w:p>
    <w:p>
      <w:pPr>
        <w:spacing w:before="40" w:after="40"/>
        <w:ind w:left="283"/>
      </w:pPr>
      <w:r>
        <w:rPr>
          <w:rFonts w:ascii="Calibri" w:hAnsi="Calibri"/>
          <w:b/>
          <w:color w:val="4A6B25"/>
          <w:sz w:val="20"/>
        </w:rPr>
        <w:t xml:space="preserve">2. </w:t>
      </w:r>
      <w:r>
        <w:rPr>
          <w:rFonts w:ascii="Calibri" w:hAnsi="Calibri"/>
          <w:b w:val="0"/>
          <w:color w:val="3A4A28"/>
          <w:sz w:val="20"/>
        </w:rPr>
        <w:t>Nearshoring thesis uniquely captured by CPKC's single-line tri-national network, with $250M automotive synergies already delivered three years ahead of schedule and additional cross-border volume opportunities as manufacturing shifts toward Mexico [3]</w:t>
      </w:r>
    </w:p>
    <w:p>
      <w:pPr>
        <w:spacing w:before="40" w:after="40"/>
        <w:ind w:left="283"/>
      </w:pPr>
      <w:r>
        <w:rPr>
          <w:rFonts w:ascii="Calibri" w:hAnsi="Calibri"/>
          <w:b/>
          <w:color w:val="4A6B25"/>
          <w:sz w:val="20"/>
        </w:rPr>
        <w:t xml:space="preserve">3. </w:t>
      </w:r>
      <w:r>
        <w:rPr>
          <w:rFonts w:ascii="Calibri" w:hAnsi="Calibri"/>
          <w:b w:val="0"/>
          <w:color w:val="3A4A28"/>
          <w:sz w:val="20"/>
        </w:rPr>
        <w:t>Operating ratio improvement trajectory toward industry-best levels (Q4 2025 record 55.9%) as precision scheduled railroading disciplines scale across the combined network, driving margin expansion and EPS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Fuel cost volatility — Q2 2026 saw a 53% spike in fuel costs that pressured operating ratio to 64.6%, demonstrating CPKC's exposure to energy input costs in an asset-heavy, capital-intensive business model [2]</w:t>
      </w:r>
    </w:p>
    <w:p>
      <w:pPr>
        <w:spacing w:before="40" w:after="40"/>
        <w:ind w:left="283"/>
      </w:pPr>
      <w:r>
        <w:rPr>
          <w:rFonts w:ascii="Calibri" w:hAnsi="Calibri"/>
          <w:b/>
          <w:color w:val="4A6B25"/>
          <w:sz w:val="20"/>
        </w:rPr>
        <w:t xml:space="preserve">2. </w:t>
      </w:r>
      <w:r>
        <w:rPr>
          <w:rFonts w:ascii="Calibri" w:hAnsi="Calibri"/>
          <w:b w:val="0"/>
          <w:color w:val="3A4A28"/>
          <w:sz w:val="20"/>
        </w:rPr>
        <w:t>Environmental and reputational risk from the November 2025 Kamloops derailment (70,000 litres of jet fuel on First Nations territory) with potential litigation costs and regulatory scrutiny that could constrain operations [4]</w:t>
      </w:r>
    </w:p>
    <w:p>
      <w:pPr>
        <w:spacing w:before="40" w:after="40"/>
        <w:ind w:left="283"/>
      </w:pPr>
      <w:r>
        <w:rPr>
          <w:rFonts w:ascii="Calibri" w:hAnsi="Calibri"/>
          <w:b/>
          <w:color w:val="4A6B25"/>
          <w:sz w:val="20"/>
        </w:rPr>
        <w:t xml:space="preserve">3. </w:t>
      </w:r>
      <w:r>
        <w:rPr>
          <w:rFonts w:ascii="Calibri" w:hAnsi="Calibri"/>
          <w:b w:val="0"/>
          <w:color w:val="3A4A28"/>
          <w:sz w:val="20"/>
        </w:rPr>
        <w:t>US-Mexico trade and tariff volatility directly exposing the tri-national franchise to cross-border volume disruption — any nearshoring reversal or tariff escalation would compress volumes and the growth premium at 22.2x forward PE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Railroads are structurally immune to AI disruption — AI cannot replicate 20,000 route miles of track, locomotives, terminals, and cross-border operating rights regulated by the STB, Transport Canada, and Mexico's SCT [3]. Freight rail's energy and cost advantage over trucking (4x more fuel-efficient) strengthens as supply chains prioritize decarbonization, and CPKC's tri-national single-line network is a physically unreplicable asset. AI enhances railroad operations through predictive maintenance and network optimization rather than threatening them. AI Opportunity (0/1): CPKC deploys AI internally for bearing failure prediction (90% reduction in bearing-related failures), waterbody monitoring (1.2M waterbodies scanned), and network optimization [3], but does not generate direct revenue from AI products or services sold to external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CPKC Q4 and Full-Year 2025 Earnings Release — C$15.1B revenue, Record 55.9% Q4 OR, 2026 Guidance, January 2026</w:t>
      </w:r>
    </w:p>
    <w:p>
      <w:pPr>
        <w:spacing w:before="20" w:after="20"/>
        <w:ind w:left="170"/>
      </w:pPr>
      <w:r>
        <w:rPr>
          <w:rFonts w:ascii="Calibri" w:hAnsi="Calibri"/>
          <w:b/>
          <w:color w:val="4A6B25"/>
          <w:sz w:val="15"/>
        </w:rPr>
        <w:t xml:space="preserve">2. </w:t>
      </w:r>
      <w:r>
        <w:rPr>
          <w:rFonts w:ascii="Calibri" w:hAnsi="Calibri"/>
          <w:b w:val="0"/>
          <w:color w:val="3A4A28"/>
          <w:sz w:val="17"/>
        </w:rPr>
        <w:t>CPKC Q2 2026 Earnings Release — C$4.2B Revenue (+13% YoY), C$1.27 Core Adjusted EPS, FCF Doubled to C$1B, Grain +24%, Poised for H2 Acceleration — July 2026</w:t>
      </w:r>
    </w:p>
    <w:p>
      <w:pPr>
        <w:spacing w:before="20" w:after="20"/>
        <w:ind w:left="170"/>
      </w:pPr>
      <w:r>
        <w:rPr>
          <w:rFonts w:ascii="Calibri" w:hAnsi="Calibri"/>
          <w:b/>
          <w:color w:val="4A6B25"/>
          <w:sz w:val="15"/>
        </w:rPr>
        <w:t xml:space="preserve">3. </w:t>
      </w:r>
      <w:r>
        <w:rPr>
          <w:rFonts w:ascii="Calibri" w:hAnsi="Calibri"/>
          <w:b w:val="0"/>
          <w:color w:val="3A4A28"/>
          <w:sz w:val="17"/>
        </w:rPr>
        <w:t>CPKC Corporate Overview — cpkcr.com: Tri-National Network, AI Innovation (Wayside Sensors, Waterbody Monitoring), Hydrogen Locomotive JV with CSX, Labor Stability Through 2027</w:t>
      </w:r>
    </w:p>
    <w:p>
      <w:pPr>
        <w:spacing w:before="20" w:after="20"/>
        <w:ind w:left="170"/>
      </w:pPr>
      <w:r>
        <w:rPr>
          <w:rFonts w:ascii="Calibri" w:hAnsi="Calibri"/>
          <w:b/>
          <w:color w:val="4A6B25"/>
          <w:sz w:val="15"/>
        </w:rPr>
        <w:t xml:space="preserve">4. </w:t>
      </w:r>
      <w:r>
        <w:rPr>
          <w:rFonts w:ascii="Calibri" w:hAnsi="Calibri"/>
          <w:b w:val="0"/>
          <w:color w:val="3A4A28"/>
          <w:sz w:val="17"/>
        </w:rPr>
        <w:t>CPKC ESG and Governance — SBTi 2030 GHG Targets, Say on Climate 88.72% Approval, 2024 Labor Dispute and Lockout, Kamloops Derailment November 2025</w:t>
      </w:r>
    </w:p>
    <w:p>
      <w:pPr>
        <w:spacing w:before="20" w:after="20"/>
        <w:ind w:left="170"/>
      </w:pPr>
      <w:r>
        <w:rPr>
          <w:rFonts w:ascii="Calibri" w:hAnsi="Calibri"/>
          <w:b/>
          <w:color w:val="4A6B25"/>
          <w:sz w:val="15"/>
        </w:rPr>
        <w:t xml:space="preserve">5. </w:t>
      </w:r>
      <w:r>
        <w:rPr>
          <w:rFonts w:ascii="Calibri" w:hAnsi="Calibri"/>
          <w:b w:val="0"/>
          <w:color w:val="3A4A28"/>
          <w:sz w:val="17"/>
        </w:rPr>
        <w:t>Keith Creel Executive Profile — cpkcr.com: 13+ Year CEO Tenure, Railroad Innovator Award 2014/2024, Railroader of the Year 2021/2022</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 CP Key Statistics: Stock Price $89.08, PE 26.71, Forward PE 22.16, D/E 50%, ROE 8.64%, Profit Margin 27.5%,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