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CRAFX</w:t>
      </w:r>
      <w:r>
        <w:rPr>
          <w:rFonts w:ascii="Calibri" w:hAnsi="Calibri"/>
          <w:b/>
          <w:color w:val="1A2010"/>
          <w:sz w:val="40"/>
        </w:rPr>
        <w:t xml:space="preserve">  Cascade Real Assets Fund Class I</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Interval Fund - Real Assets · NAS · United States</w:t>
      </w:r>
    </w:p>
    <w:p>
      <w:pPr>
        <w:spacing w:after="80"/>
      </w:pPr>
      <w:r>
        <w:rPr>
          <w:rFonts w:ascii="Calibri" w:hAnsi="Calibri"/>
          <w:b w:val="0"/>
          <w:color w:val="3A4A28"/>
          <w:sz w:val="20"/>
        </w:rPr>
        <w:t>Cascade Real Assets Fund Class I is a non-diversified, closed-end management investment company structured as an interval fund pursuant to Rule 23c-3. Managed by Cliffwater LLC, the fund seeks long-term capital appreciation and current income by investing in a diversified portfolio of private real assets, including real estate and infrastructure-related investments. The fund is newly launched with a price of approximately $10.22 and a 52-week range of $10.00-$10.21, indicating minimal price movement since inception.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The Cascade Real Assets Fund is a newly launched interval fund with no operating history to evaluate. The fund was formed as a Delaware statutory trust and registered under the Investment Company Act of 1940 [1]. No products have been launched, no pivots executed, and no business model innovations demonstrated. AI Deployment (0/2): No evidence of AI-powered investment tools or AI-driven portfolio management. Cliffwater manages the fund through traditional institutional real asset investment processes. Market Share (0/2): As a newly launched fund with an estimated $10-20M in initial assets and a price barely above its $10 offering price, the fund has negligible market presence in the multi-trillion-dollar real assets investment space. Product Pipeline (0/2): No next-generation products or fund extensions announced. The fund is still in its capital-raising phase. R&amp;D Intensity (1/1): Cliffwater has invested in building a dedicated real assets investment team, including hiring Sean Brenan (former Goldman Sachs real estate secondaries head) as Head of Real Estate and Portfolio Manager, and adding Managing Directors Ryan Madani and Sam Walsh (former GIC) [1]. This institutional capability building earns a minimal point.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Cliffwater's purpose as an alternative investment adviser is functional — providing institutional-quality real assets exposure to investors. There is no distinctive mission connecting the fund to a larger purpose or vision of a better future [1]. Community Impact (0/2): No evidence of charitable programs, community investment, or social impact initiatives associated with the fund or Cliffwater LLC. Employee Retention (0/2): The recent hiring of Sean Brenan, Ryan Madani, and Sam Walsh from Goldman Sachs and GIC demonstrates Cliffwater's ability to attract talent, but no retention data exists for a newly formed team [1]. Insider Buying (0/2): No insider buying data available for a newly launched fund.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Infrastructure score is 0 because no financial operating metrics are available for this newly launched interval fund. All core metrics (D/E, ROE, revenue growth, Forward P/E, profit margin) and growth metrics (PEG) are unavailable from financial data sources [1]. The fund has no dividend history, no earnings track record, and no meaningful price performance — the 52-week range of $10.00-$10.21 shows negligible movement since inception. As an interval fund, CRAFX does not trade on exchanges in the traditional sense; liquidity is provided through periodic repurchase offers rather than daily market trading. Average daily volume data is unavailable, making the liquidity floor check ($1M daily dollar volume) indeterminate but likely not met given the interval fund structure.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The Cascade Real Assets Fund is too new to meaningfully evaluate against infinite game criteria. As an interval fund with no operating history, no track record of strategic decisions, and no demonstrated organizational culture, the entity lacks the evidence base required for infinite game scoring. Cliffwater's recent talent acquisitions from Goldman Sachs and GIC suggest institutional ambition, but the fund has not yet faced the tests — market crises, strategic pivots, competitive pressure — that reveal whether an organization plays to endure or plays to win this quarter.</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identified. The fund exists to provide long-term capital appreciation and current income through private real assets [1] — a financial objective, not a cause. Cliffwater as an organization serves institutional investors seeking alternative investments, which is a functional purpose without a transformative vision.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hiring of Sean Brenan (Goldman Sachs), Sam Walsh (GIC), and Ryan Madani demonstrates Cliffwater's ability to attract senior talent from top-tier institutions, suggesting a credible organizational platform [1]. These hires joined a newly formed team, indicating willingness to build something new. However, no data exists on team dynamics, organizational culture, or employee satisfaction for a fund that is still in its formation stage.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mindset assessment. The fund competes with established real assets managers (Blackstone, Brookfield, Ares) for deals and capital, but no management commentary on competitive learning or rival acknowledgment was found.</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fund is too new to have faced any strategic tests requiring flexibility. No pivots, adaptations, or transformative decisions have occurred because the fund has barely begun investing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courageous leadership decisions to evaluate. The fund is in its capital deployment phase and has not yet faced the market conditions, competitive pressures, or strategic trade-offs that test leadership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Cascade Real Assets Fund (CRAFX) at $10.22 is a newly launched interval fund managed by Cliffwater LLC that provides access to private real assets — real estate and infrastructure investments — through an institutional-quality vehicle. The hiring of Sean Brenan (former Goldman Sachs real estate secondaries head) and Sam Walsh (former GIC) as senior portfolio professionals signals serious institutional ambition and deal-sourcing capability [1]. Private real assets benefit from structural tailwinds including AI-driven data center construction, energy infrastructure demand, and institutional allocators' increasing appetite for real asset diversification in an inflationary environment.</w:t>
      </w:r>
    </w:p>
    <w:p>
      <w:pPr>
        <w:spacing w:after="120"/>
      </w:pPr>
      <w:r>
        <w:rPr>
          <w:rFonts w:ascii="Calibri" w:hAnsi="Calibri"/>
          <w:b w:val="0"/>
          <w:color w:val="3A4A28"/>
          <w:sz w:val="20"/>
        </w:rPr>
        <w:t>The bear case is straightforward: the fund has no track record. CRAFX has been operating for less than a year, with a price that has barely moved from its $10 offering price (52-week high of $10.21). There is no performance history, no portfolio composition data, no distribution record, and no evidence of investment returns [1]. The interval fund structure limits liquidity — investors can only redeem during periodic repurchase offers (typically quarterly at 5-25% of NAV), creating significant illiquidity risk. Cliffwater's management fees for alternative investments are typically higher than public market equivalents, creating a return drag that requires outperformance to justify. The IOWN Return on Intention framework is designed to evaluate operating companies, not private real asset interval funds — the low overall score of 26 reflects this fundamental framework mismatch. Investors should evaluate CRAFX based on the quality of its deal pipeline, Cliffwater's institutional track record, fee structure, and portfolio construction approach rather than the equity-oriented IOWN scoring system.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Institutional-quality team buildout with Sean Brenan (Goldman Sachs), Sam Walsh (GIC), and Ryan Madani providing deep deal sourcing networks across real estate secondaries, primaries, and co-investments [1]</w:t>
      </w:r>
    </w:p>
    <w:p>
      <w:pPr>
        <w:spacing w:before="40" w:after="40"/>
        <w:ind w:left="283"/>
      </w:pPr>
      <w:r>
        <w:rPr>
          <w:rFonts w:ascii="Calibri" w:hAnsi="Calibri"/>
          <w:b/>
          <w:color w:val="4A6B25"/>
          <w:sz w:val="20"/>
        </w:rPr>
        <w:t xml:space="preserve">2. </w:t>
      </w:r>
      <w:r>
        <w:rPr>
          <w:rFonts w:ascii="Calibri" w:hAnsi="Calibri"/>
          <w:b w:val="0"/>
          <w:color w:val="3A4A28"/>
          <w:sz w:val="20"/>
        </w:rPr>
        <w:t>Structural tailwinds from AI-driven demand for data center real estate, power infrastructure, and connectivity assets creating compelling investment opportunities in the private real assets space</w:t>
      </w:r>
    </w:p>
    <w:p>
      <w:pPr>
        <w:spacing w:before="40" w:after="40"/>
        <w:ind w:left="283"/>
      </w:pPr>
      <w:r>
        <w:rPr>
          <w:rFonts w:ascii="Calibri" w:hAnsi="Calibri"/>
          <w:b/>
          <w:color w:val="4A6B25"/>
          <w:sz w:val="20"/>
        </w:rPr>
        <w:t xml:space="preserve">3. </w:t>
      </w:r>
      <w:r>
        <w:rPr>
          <w:rFonts w:ascii="Calibri" w:hAnsi="Calibri"/>
          <w:b w:val="0"/>
          <w:color w:val="3A4A28"/>
          <w:sz w:val="20"/>
        </w:rPr>
        <w:t>Cliffwater's established institutional platform and relationships provide access to proprietary deal flow that retail investors cannot access independently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track record — the fund has been operating for less than a year with no performance data, no portfolio disclosure, and no distribution history, requiring investors to bet entirely on the team's pedigree and Cliffwater's platform [1]</w:t>
      </w:r>
    </w:p>
    <w:p>
      <w:pPr>
        <w:spacing w:before="40" w:after="40"/>
        <w:ind w:left="283"/>
      </w:pPr>
      <w:r>
        <w:rPr>
          <w:rFonts w:ascii="Calibri" w:hAnsi="Calibri"/>
          <w:b/>
          <w:color w:val="4A6B25"/>
          <w:sz w:val="20"/>
        </w:rPr>
        <w:t xml:space="preserve">2. </w:t>
      </w:r>
      <w:r>
        <w:rPr>
          <w:rFonts w:ascii="Calibri" w:hAnsi="Calibri"/>
          <w:b w:val="0"/>
          <w:color w:val="3A4A28"/>
          <w:sz w:val="20"/>
        </w:rPr>
        <w:t>Interval fund illiquidity — investors can only redeem during periodic repurchase offers, typically quarterly at 5-25% of NAV, creating significant lockup risk with no ability to exit during market stress</w:t>
      </w:r>
    </w:p>
    <w:p>
      <w:pPr>
        <w:spacing w:before="40" w:after="40"/>
        <w:ind w:left="283"/>
      </w:pPr>
      <w:r>
        <w:rPr>
          <w:rFonts w:ascii="Calibri" w:hAnsi="Calibri"/>
          <w:b/>
          <w:color w:val="4A6B25"/>
          <w:sz w:val="20"/>
        </w:rPr>
        <w:t xml:space="preserve">3. </w:t>
      </w:r>
      <w:r>
        <w:rPr>
          <w:rFonts w:ascii="Calibri" w:hAnsi="Calibri"/>
          <w:b w:val="0"/>
          <w:color w:val="3A4A28"/>
          <w:sz w:val="20"/>
        </w:rPr>
        <w:t>High fee drag — alternative real asset funds typically charge 1-2% management fees plus performance fees, requiring meaningful outperformance of public REIT indices to justify the illiquidity premium and cost burden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The Cascade Real Assets Fund invests in physical real assets — real estate properties, infrastructure projects, and related tangible investments — that AI structurally cannot displace [1]. Buildings, bridges, pipelines, and data centers are physical-world assets whose value derives from location, scarcity, and utility rather than information processing that AI could replicate. AI may enhance real asset valuation, property management, and infrastructure monitoring, but cannot substitute for the underlying physical assets themselves. The fund benefits from AI-driven demand: data center construction, power infrastructure, and connectivity assets are direct beneficiaries of AI infrastructure buildout. Score is 7 rather than higher because AI-enhanced property technology and automated asset management tools could reduce the value-add of active real assets management, potentially commoditizing the fund's management advantage. AI Opportunity (0/1): No evidence of AI-generated revenue or AI-powered products within the fund's investment approach.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Cascade Real Assets Fund SEC N-2/N-2A Filings — Fund Structure, Investment Strategy, and Team Appointments (Sean Brenan, Sam Walsh, Ryan Madani), SEC EDGAR and Cliffwater Press Release,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