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CRCL</w:t>
      </w:r>
      <w:r>
        <w:rPr>
          <w:rFonts w:ascii="Calibri" w:hAnsi="Calibri"/>
          <w:b/>
          <w:color w:val="1A2010"/>
          <w:sz w:val="40"/>
        </w:rPr>
        <w:t xml:space="preserve">  Circle Internet Group, Inc.</w:t>
      </w:r>
    </w:p>
    <w:p>
      <w:pPr>
        <w:spacing w:after="120"/>
      </w:pPr>
      <w:r>
        <w:rPr>
          <w:rFonts w:ascii="Calibri" w:hAnsi="Calibri"/>
          <w:b/>
          <w:color w:val="6E8450"/>
          <w:sz w:val="18"/>
        </w:rPr>
        <w:t>GROWTH SLEEVE · 2026-10-04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Circle Internet Group is the issuer of USDC, the second-largest stablecoin with $73.3B in circulation (Q2 2026, +19% YoY), and EURC. The company operates blockchain infrastructure, the Circle Payments Network (CPN), and a developer platform enabling digital dollar transactions globally. IPO'd on NYSE in June 2025. CEO Jeremy Allaire (co-founder, 12.8-year tenure) has positioned Circle at the intersection of stablecoins and AI, launching the Circle Agent Stack for machine-to-machine payments. Q1 2026 revenue was $694M (+20% YoY) with adjusted EBITDA of $151M; Q2 2026 revenue was $701M (+7% YoY). USDC onchain transaction volume reached $14.8T in Q2 (+151% YoY). The GENIUS Act (signed July 2025) codified federal stablecoin regulation, and USDC's existing compliance structure met every requirement.</w:t>
      </w:r>
    </w:p>
    <w:p>
      <w:r>
        <w:rPr>
          <w:rFonts w:ascii="Calibri" w:hAnsi="Calibri"/>
          <w:b/>
          <w:color w:val="6E8450"/>
          <w:sz w:val="18"/>
        </w:rPr>
        <w:t>1,100 Employees · https://www.circle.com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Circle built USDC from launch to $73.3B in circulation and completed a landmark NYSE IPO in June 2025 after a failed SPAC attempt, demonstrating persistence through multiple crypto winters [1]. The company expanded beyond stablecoin issuance to build the Circle Payments Network ($23B annualized volume, +130%) and launched the Arc layer-one blockchain ($222M presale from a16z, BlackRock, Apollo). Revenue grew from $772M (2022) to $2.75B (2025), a 52.7% three-year CAGR. AI Deployment (2/2): Circle's AI adoption is among the most aggressive in fintech — 85% of the workforce uses AI coding and automation tools on a weekly basis, employees have built and deployed over 600 AI apps, and the company launched the Circle Agent Stack in May 2026 where AI agents themselves are customers for holding assets and transacting with USDC across blockchains [2]. Li Fan serves as Chief Technology and AI Officer, and CEO Allaire has positioned USDC as 'the currency of the agentic economy.' Market Share (1/2): USDC is the #2 stablecoin globally behind Tether's USDT (~$140B), with $73.3B in circulation and Q2 2026 onchain transaction volume of $14.8T (+151% YoY) [1]. USDC is the dominant regulated stablecoin for institutional use but well behind USDT in total circulation. Product Pipeline (1/2): Arc blockchain mainnet backed by premier institutional investors, CPN volume growing 130% with monetization plans, AI agent infrastructure creating new use cases, and carbon credit tokenization expanding Circle's addressable market [1]. R&amp;D Intensity (1/1): Circle maintains heavy engineering investment across multiple blockchain protocols, the Arc chain, CPN platform, and AI infrastructure simultaneously. With 1,100 employees, the engineering-to-headcount ratio is among the highest in fintech.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Circle's mission — 'raising global economic prosperity through the frictionless exchange of financial value' — is specific, thoughtful, and clearly differentiates from fintech peers by connecting blockchain infrastructure to global financial inclusion [2]. CEO Allaire has articulated this vision consistently for 13+ years, navigating crypto winters and regulatory uncertainty while maintaining the regulation-first approach. The GENIUS Act passage validates that the cause shaped real-world outcomes. However, the mission has not been validated through decades of execution, and the Arc blockchain pivot raises questions about cause vs. financial engineering. Community Impact (1/2): Circle plays a role in transforming the voluntary carbon market through tokenized carbon credit infrastructure, making transparent and accessible environmental assets available on blockchain [3]. USDC enables financial inclusion for unbanked populations in emerging markets by providing dollar-denominated digital payments without traditional banking relationships. These are meaningful contributions through business model rather than direct philanthropy. Employee Retention (0/2): Glassdoor reviews describe organizational instability — middle management reshuffling, dysfunctional cross-team collaboration, extended work hours, and multiple rounds of layoffs [2]. Reports that the company encouraged employees to write favorable Glassdoor reviews undermines trust.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all available metrics. D/E of 0.45% reflects a near-zero-debt balance sheet — exceptional capital structure with minimal leverage (score 1.0) [4]. ROE of 15.35% just meets the 15% target (score 1.0, 2x weight), and profit margin of 15.53% approaches the 20% target (score 0.78). Revenue growth YoY of 6.6% (Q2 2026 vs Q2 2025) reflects significant deceleration from the 20% Q1 growth and 64% annual 2025 growth as USDC circulation growth moderates (score 0.89). The estimated 5-year revenue CAGR of approximately 53% (2022 $772M to 2025 $2,747M, 3-year proxy for pre-IPO company) far exceeds the 10% target (score 1.0, 2x weight). The primary drags are: Forward P/E of 54.19 (near the 60x floor, score 0.15) reflects analyst expectations that earnings will decline as interest rates fall — trailing P/E of 16.28 includes non-recurring Arc presale revenue that inflates current profitability. Forward PEG of 4.34 exceeds the 3.0 floor (score 0.0, 2x weight), indicating the market sees growth decelerating sharply relative to valuation [4]. Liquidity is excellent at ~$1.1B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Circle under Jeremy Allaire shows meaningful infinite game characteristics — a genuine 13-year vision of transforming financial infrastructure, willingness to invest through multiple crypto winters, and a regulation-first approach to stablecoin issuance that sacrificed near-term market share to Tether to build long-term institutional trust. The GENIUS Act passage validates that strategic patience. However, organizational execution has been uneven: Glassdoor reviews cite dysfunctional management and layoff rounds, the Arc blockchain introduces governance complexity, and the revenue model's heavy dependence on interest rates creates finite-game sensitivity to macroeconomic conditions.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Allaire's vision of raising global economic prosperity through frictionless financial value exchange is genuine, distinctive, and has shaped strategic decisions for over a decade — the regulation-first approach to stablecoins sacrificed market share to Tether in service of building durable, compliant infrastructure [2]. The commitment through multiple crypto winters (including the 2022 crash), the failed SPAC pivoting to successful IPO, and the GENIUS Act passage demonstrate personal alignment and strategic consistency. The TIME100 recognition and positioning USDC for AI agent commerce extend the cause into new frontiers. However, the Arc blockchain token presale ($222M) introduces financial complexity that may dilute the mission's purity.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consistently describe organizational instability — middle management reshuffling, dysfunctional cross-team collaboration, extended work hours, and multiple rounds of layoffs [2]. Reports that the company encouraged employees to write favorable Glassdoor reviews is antithetical to Sinek's Circle of Safety. CEO Allaire's public statements that 'AI agents will replace a huge percentage of human work' may further erode employee trust and psychological safety among the 1,100-person workforce. While 85% weekly AI tool adoption suggests high engagement, it may also reflect management pressure rather than organic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Circle explicitly positions Tether as a rival whose strengths (larger circulation at ~$140B, broader crypto-native adoption, lower cost structure) motivate Circle to differentiate through regulation-first compliance, reserve transparency, and institutional trust [1]. The GENIUS Act engagement reflects a company that uses competitive pressure to build better market infrastructure rather than seeking to destroy the rival. Circle's competitive language consistently focuses on 'building trust' and 'enabling financial inclusion' rather than 'winning market share from Tether.'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Circle executed a meaningful strategic pivot from consumer payments (Circle Pay) to stablecoin infrastructure, abandoning a working consumer product for the larger opportunity of becoming the issuer of a global digital dollar [1]. The subsequent expansion into AI agent infrastructure and the Arc blockchain represents further evolution. However, the consumer payments pivot was partly driven by competitive necessity (Circle Pay could not compete with Venmo/PayPal) rather than purely serving the Just Cause, and each pivot was incremental within the fintech domain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Allaire demonstrated conviction by maintaining Circle's regulation-first stablecoin strategy when Tether captured massive market share by avoiding regulation — a costly decision that sacrificed near-term growth for long-term institutional trust, validated when the GENIUS Act created regulatory advantages for compliant issuers [3]. Navigating a failed SPAC in 2022 through to a successful NYSE IPO in 2025, and continuing to invest in AI infrastructure and the Arc blockchain during uncertain crypto markets, shows willingness to accept short-term pain for long-term capability. However, multiple rounds of layoffs and the USDC freeze controversy (refusing to freeze a hacker's wallet in the $285M Drift Protocol hack) expose inconsistency in principled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Circle occupies a unique position as the only publicly traded pure-play stablecoin issuer, with USDC circulation of $73.3B (+19% YoY) and Q2 2026 onchain transaction volume of $14.8T (+151% YoY) [1]. The company has achieved GAAP profitability with 15.35% ROE, 15.53% profit margin, and an essentially zero-debt balance sheet (D/E 0.45%) — exceptional capital structure for a high-growth fintech [4]. The Circle Agent Stack positions USDC as the settlement layer for machine-to-machine AI commerce, with 85% of Circle's own workforce using AI tools weekly and 600+ AI apps deployed [2]. The GENIUS Act (signed July 2025) codified U.S. stablecoin regulation and USDC's existing compliance structure met every requirement, creating structural advantages against less-regulated competitors. Revenue CAGR of ~53% over three years (2022-2025) demonstrates strong secular growth, and the Inspire Impact Score of 0 (MIXED) creates no faith-based restrictions.</w:t>
      </w:r>
    </w:p>
    <w:p>
      <w:pPr>
        <w:spacing w:after="120"/>
      </w:pPr>
      <w:r>
        <w:rPr>
          <w:rFonts w:ascii="Calibri" w:hAnsi="Calibri"/>
          <w:b w:val="0"/>
          <w:color w:val="3A4A28"/>
          <w:sz w:val="20"/>
        </w:rPr>
        <w:t>The fundamental concern is revenue quality and interest rate sensitivity. Reserve income on $73.3B in USDC circulation is the dominant revenue source, creating direct exposure to Fed rate cuts — a 100bps rate reduction would reduce annual reserve income by approximately $730M, a material portion of the ~$2.9B LTM revenue base [1]. The dramatic gap between trailing P/E (16.28x) and forward P/E (54.19x) explicitly prices in this earnings compression, with analysts expecting EPS to decline from ~$5.00 trailing to ~$1.50 forward as rates normalize. The PEG of 4.34 signals the market sees growth sharply decelerating relative to current valuation. Revenue growth has already decelerated from 64% (annual 2025) to 20% (Q1 2026) to 7% (Q2 2026), confirming the slowdown [1]. Competition from Tether (~$140B USDT circulation), potential bank-issued stablecoins under the GENIUS Act, and a $285M class action lawsuit (Drift Protocol hack — plaintiffs allege Circle failed to freeze stolen USDC linked to North Korea) create operational risks [3]. Glassdoor reviews describing dysfunctional management, layoff rounds, and encouraged fake reviews raise execution concerns about whether this 1,100-person company can scale to meet its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GENIUS Act implementation creating a permanent regulatory moat that advantages Circle's compliance-first approach, potentially accelerating institutional USDC adoption while imposing prohibitive compliance costs on unregulated competitors like Tether [3]</w:t>
      </w:r>
    </w:p>
    <w:p>
      <w:pPr>
        <w:spacing w:before="40" w:after="40"/>
        <w:ind w:left="283"/>
      </w:pPr>
      <w:r>
        <w:rPr>
          <w:rFonts w:ascii="Calibri" w:hAnsi="Calibri"/>
          <w:b/>
          <w:color w:val="4A6B25"/>
          <w:sz w:val="20"/>
        </w:rPr>
        <w:t xml:space="preserve">2. </w:t>
      </w:r>
      <w:r>
        <w:rPr>
          <w:rFonts w:ascii="Calibri" w:hAnsi="Calibri"/>
          <w:b w:val="0"/>
          <w:color w:val="3A4A28"/>
          <w:sz w:val="20"/>
        </w:rPr>
        <w:t>AI agent economy adoption of USDC as the settlement layer for machine-to-machine transactions via the Circle Agent Stack, creating a novel revenue stream driven by AI proliferation rather than interest rates or crypto sentiment — potentially the most important diversification catalyst for Circle's revenue model [2]</w:t>
      </w:r>
    </w:p>
    <w:p>
      <w:pPr>
        <w:spacing w:before="40" w:after="40"/>
        <w:ind w:left="283"/>
      </w:pPr>
      <w:r>
        <w:rPr>
          <w:rFonts w:ascii="Calibri" w:hAnsi="Calibri"/>
          <w:b/>
          <w:color w:val="4A6B25"/>
          <w:sz w:val="20"/>
        </w:rPr>
        <w:t xml:space="preserve">3. </w:t>
      </w:r>
      <w:r>
        <w:rPr>
          <w:rFonts w:ascii="Calibri" w:hAnsi="Calibri"/>
          <w:b w:val="0"/>
          <w:color w:val="3A4A28"/>
          <w:sz w:val="20"/>
        </w:rPr>
        <w:t>Circle Payments Network growth from $23B annualized volume (+130%) toward broader cross-border payment adoption, monetizing transaction fees and reducing dependence on interest rate-sensitive reserve income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Reserve yield compression as the Fed cuts rates — Circle's revenue is predominantly interest income on $73.3B+ in reserves, and a 100bps rate cut would reduce annual revenue by ~$730M; the forward P/E of 54x vs trailing 16x explicitly prices in this earnings decline, and further rate cuts could push the company toward operating losses [1]</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64% (annual 2025) to 20% (Q1 2026) to 7% (Q2 2026) signals the rapid growth phase may be ending, yet the stock trades at 54x forward earnings — any miss on USDC circulation growth or transaction volume targets could trigger a sharp valuation correction [4]</w:t>
      </w:r>
    </w:p>
    <w:p>
      <w:pPr>
        <w:spacing w:before="40" w:after="40"/>
        <w:ind w:left="283"/>
      </w:pPr>
      <w:r>
        <w:rPr>
          <w:rFonts w:ascii="Calibri" w:hAnsi="Calibri"/>
          <w:b/>
          <w:color w:val="4A6B25"/>
          <w:sz w:val="20"/>
        </w:rPr>
        <w:t xml:space="preserve">3. </w:t>
      </w:r>
      <w:r>
        <w:rPr>
          <w:rFonts w:ascii="Calibri" w:hAnsi="Calibri"/>
          <w:b w:val="0"/>
          <w:color w:val="3A4A28"/>
          <w:sz w:val="20"/>
        </w:rPr>
        <w:t>Class action lawsuit stemming from the $285M Drift Protocol hack, alleging Circle failed to freeze $230M in stolen USDC linked to North Korea, creates legal liability and reputational risk around Circle's centralized control over a supposedly decentralized financial instrument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Circle's core stablecoin business is structural financial infrastructure — USDC serves as a settlement layer and digital dollar on blockchain networks, a function that AI cannot substitute [1]. Stablecoin issuance requires regulatory compliance (GENIUS Act), reserve management with full banking relationships, monthly attestations and annual audits, and institutional trust built over a decade — none of which AI tools can replicate or shortcut. The $73.3B in circulation creates network effects and switching costs that provide a durable moat. The primary competitive risks are from Tether (larger circulation), potential bank-issued stablecoins, and interest rate sensitivity — these are structural business risks, not AI-driven displacement threats. AI Opportunity (1/1): Circle launched the Circle Agent Stack in May 2026, positioning USDC explicitly as the payment and settlement layer for the agentic AI economy — enabling AI agents to hold assets, discover services, and transact autonomously across blockchains [2]. CEO Allaire is among the most vocal proponents of AI agents in financial services, and 85% of Circle's workforce actively uses AI tools weekly with 600+ AI apps deployed internally. The company generates early but growing revenue from AI-related infrastructure where AI agents themselves are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Circle Internet Group Q1 and Q2 2026 Earnings — Q1 Revenue $694M (+20% YoY), Q2 Revenue $701M (+7% YoY), USDC $73.3B Circulation (+19% YoY), CPN $23B Annualized Volume, USDC Txn Volume $14.8T (+151%) — TIKR, SEC 8-K,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Circle AI Innovation and Leadership — CEO Jeremy Allaire, Circle Agent Stack Launch May 2026, 85% Workforce AI Adoption, 600+ AI Apps, CTO/AI Officer Li Fan — Yahoo Finance, TipRanks, ChartMill, 2026</w:t>
      </w:r>
    </w:p>
    <w:p>
      <w:pPr>
        <w:spacing w:before="20" w:after="20"/>
        <w:ind w:left="170"/>
      </w:pPr>
      <w:r>
        <w:rPr>
          <w:rFonts w:ascii="Calibri" w:hAnsi="Calibri"/>
          <w:b/>
          <w:color w:val="4A6B25"/>
          <w:sz w:val="15"/>
        </w:rPr>
        <w:t xml:space="preserve">3. </w:t>
      </w:r>
      <w:r>
        <w:rPr>
          <w:rFonts w:ascii="Calibri" w:hAnsi="Calibri"/>
          <w:b w:val="0"/>
          <w:color w:val="3A4A28"/>
          <w:sz w:val="17"/>
        </w:rPr>
        <w:t>Circle Regulatory and Legal — GENIUS Act Signed July 2025, Drift Protocol $285M Hack Lawsuit, USDC Compliance, Carbon Credit Tokenization — Yahoo Finance, CarbonCredits.com,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CRCL Key Statistics: Forward P/E 54.19, Trailing P/E 16.28, PEG 4.34, D/E 0.45%, ROE 15.35%, Profit Margin 15.53%, Avg Volume 13.8M,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