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CRC</w:t>
      </w:r>
      <w:r>
        <w:rPr>
          <w:rFonts w:ascii="Calibri" w:hAnsi="Calibri"/>
          <w:b/>
          <w:color w:val="1A2010"/>
          <w:sz w:val="40"/>
        </w:rPr>
        <w:t xml:space="preserve">  California Resources Corporation</w:t>
      </w:r>
    </w:p>
    <w:p>
      <w:pPr>
        <w:spacing w:after="120"/>
      </w:pPr>
      <w:r>
        <w:rPr>
          <w:rFonts w:ascii="Calibri" w:hAnsi="Calibri"/>
          <w:b/>
          <w:color w:val="6E8450"/>
          <w:sz w:val="18"/>
        </w:rPr>
        <w:t>DIVIDEND SLEEVE · 2026-10-01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California Resources Corporation is the largest oil and gas producer in California, operating primarily in the San Joaquin Basin. Following the 2024 Aera Energy acquisition, CRC produces approximately 150–155 MBoe/d (80% oil). The company also operates Carbon TerraVault, California's first operational carbon capture and storage (CCS) project at Elk Hills, positioning itself as an energy and carbon management company aligned with California's 2045 carbon neutrality goals. Q2 2026 revenue of $1.297B with net income of $514M.</w:t>
      </w:r>
    </w:p>
    <w:p>
      <w:r>
        <w:rPr>
          <w:rFonts w:ascii="Calibri" w:hAnsi="Calibri"/>
          <w:b/>
          <w:color w:val="6E8450"/>
          <w:sz w:val="18"/>
        </w:rPr>
        <w:t>2,500 Employees · https://www.crc.com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CRC completed the transformative Aera Energy acquisition in 2024, significantly expanding its production base and carbon management acreage, and launched Carbon TerraVault I — California's first operational CCS project, which began CO2 injection at Elk Hills in May 2026 with capacity for 1.6 million metric tons annually [1][2]. Both represent significant business model transformations for a traditional E&amp;P company. AI Deployment (0/2): No AI-powered products or quantified AI-driven efficiency gains identified in CRC's operations or public disclosures. Market Share (1/2): CRC is the largest oil and gas producer in California with dominant position in the San Joaquin Basin and the first operator of a CCS facility in the state, though it is a regional player with no national or global market share leadership [1]. Product Pipeline (1/2): Carbon TerraVault I operational, with Aera DAC Hub-Kern in development, plus pending EPA Class VI permits for 27M tonnes at Belridge and additional permits for Coles Levee, partnering with ClimeWorks and Avnos on DOE-funded projects [2]. CCS economics remain dependent on 45Q tax credits. R&amp;D Intensity (0/1): Oil and gas E&amp;P companies invest through capex rather than R&amp;D; CRC's innovation is project-based (CTV, DAC) rather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Francisco Leon states 'At CRC, we're making that difference through low carbon intensity energy production, investment, and innovation right here in the California communities we serve' — clear and identifies what the company does, but the energy transition framing is common among oil companies seeking ESG credibility and does not yet differentiate through sustained execution [3]. Community Impact (1/2): CRC appointed Chris Gould as Chief Sustainability Officer, achieved a 27% GHG reduction, and is investing in Carbon TerraVault as a community-aligned initiative [2][3]. However, CRC and subsidiaries are responsible for cleaning up 11,000+ idle wells with projected costs exceeding $1B against only $114.7M in bonds, drawing criticism from the Sierra Club and Center for Biological Diversity [4]. Employee Retention (0/2): CRC emerged from bankruptcy in 2020 and completed the Aera Energy acquisition in 2024, creating significant organizational disruption. CEO Leon (since 2023) and CFO Crespy (since Jan 2025) provide recent leadership stability, but no retention metrics are available. Insider Buying (0/2): No evidence of meaningful net insider buying found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revenue of $1.297B with net income of $514M, and TTM revenue of $3.74B grew 33% YoY following the Aera acquisition [1][5]. D/E of 39.6% is well below the 70% target (score 1.0), and forward P/E of 12.18 provides good value (score 1.0). However, TTM ROE of -3.55% and profit margin of -3.24% score zero, likely distorted by the $792M non-cash derivative losses recognized in Q1 2026 [1][5]. Revenue growth 5yr CAGR of approximately 4% is modest (score 0.6). Dividend metrics are a strength: payout ratio of 37.8% is below the 40% target (score 1.0), 5yr dividend growth CAGR of ~24% since 2021 scores at target (2× weight), offset by only 5 consecutive years paid (score 0.5, 2× weight) and 4 years of growth (score 0.4). Weighted sum 8.0 / max 12 = 6.67, rounds to 7. Liquidity: $50.80 × 832,655 = $42.3M passes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CRC exhibits predominantly finite-game characteristics tempered by nascent long-game investments. The company emerged from bankruptcy in 2020, acquired Aera Energy in 2024, and launched California's first CCS project in 2026 — but these moves read as strategic repositioning for regulatory survival rather than pursuit of a deeply held Just Cause. The carbon management pivot is becoming more real (CTV I is operational), but the core business remains oil extraction in an increasingly hostile regulatory environment, and the organizational disruption from bankruptcy and acquisition limits the trust foundation Sinek demands.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CRC's energy transition narrative gains credibility with CTV I now operational and injecting CO2, but remains shallow by Sinek's standards — the company's primary business is oil extraction (80% oil, 150–155 MBoe/d), and the 'carbon management' positioning arrived post-bankruptcy [1][3]. CEO Leon's framing of 'making that difference in the California communities we serve' is genuine but has not been validated by decades of consistent strategic execution. Environmental groups challenge whether CCS genuinely serves a larger cause or prolongs fossil fuel dependence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has stabilized since the turbulent 2020–2024 period, with CEO Leon in place since 2023 and CFO Crespy since January 2025. CRC's distinction as a publicly traded energy company with a Latino CEO/CFO team demonstrates diversity commitment [3]. The 2,500-employee workforce has weathered bankruptcy and the Aera integration. However, no specific retention, turnover, or employee satisfaction data distinguishes CRC from industry norms, and the ongoing organizational complexity from integrating Aera's operations may limit cultural cohesion.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CRC's management acknowledging competitors' strengths or using competitive dynamics for self-improvement. The company's competitive language focuses on being California's largest producer and leading energy transition, emphasizing dominance rather than learning from rivals in either E&amp;P or CCS.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Carbon TerraVault initiative represents genuine strategic evolution — CRC is leveraging geological expertise and land assets to build a carbon capture business alongside oil production, and CTV I is now operational [2]. The Aera acquisition expanded both E&amp;P and CCS capacity. However, CCS remains a small fraction of revenue, and the core business model (California oil production) has not fundamentally changed. The pivot appears driven by regulatory pressure and tax credit incentives rather than a proactive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CRC is investing in Carbon TerraVault despite environmental opposition and uncertain CCS economics, raised capex to $520–$560M, and completed the Aera acquisition to scale both production and carbon management [1][2]. Breaking ground on California's first CCS project while facing litigation from environmental groups demonstrates conviction. However, these decisions are driven by financial logic (45Q tax credits at $85/ton, production economics) rather than principled long-term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CRC offers deep value at 12.2x forward PE with the PEG ratio of 0.43 suggesting the market underprices growth, supported by Q2 2026 revenue of $1.297B and net income of $514M demonstrating strong cash generation from California's largest oil producer at 150–155 MBoe/d [1]. The Aera Energy acquisition expanded both production scale and CCS capacity, with Carbon TerraVault I now operational — California's first CCS facility capable of storing 1.6M metric tons CO2 annually, providing optionality on federal 45Q tax credits at $85/ton [2]. D/E of 39.6% and payout ratio of 37.8% provide balance sheet discipline, while the 3.19% dividend yield with 24% 5-year CAGR growth rate offers income with above-inflation growth. The Inspire ALIGNED score of 47 reflects strong ESG alignment across air quality, energy management, and environmental risk mitigation [4].</w:t>
      </w:r>
    </w:p>
    <w:p>
      <w:pPr>
        <w:spacing w:after="120"/>
      </w:pPr>
      <w:r>
        <w:rPr>
          <w:rFonts w:ascii="Calibri" w:hAnsi="Calibri"/>
          <w:b w:val="0"/>
          <w:color w:val="3A4A28"/>
          <w:sz w:val="20"/>
        </w:rPr>
        <w:t>GAAP profitability metrics are severely distorted by $792M in non-cash commodity derivative losses in Q1 2026, producing negative TTM ROE (-3.55%) and profit margin (-3.24%) that mask underlying operational strength — Q2 2026 alone generated $514M net income [1][5]. The stock trades 29% below its 52-week high of $71.98, reflecting market skepticism about oil price sustainability and California regulatory risk. CRC and subsidiaries bear cleanup obligations for 11,000+ idle wells with estimated costs exceeding $1B against only $114.7M in bonds, creating a significant unfunded environmental liability [4]. Carbon TerraVault faces active litigation from environmental groups challenging the project's environmental analysis, and CCS economics remain dependent on federal 45Q tax credits vulnerable to political risk. California's increasingly restrictive permitting for new wells and production, combined with setback requirements, could constrain CRC's ability to maintain production levels over the medium term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Carbon TerraVault I operational with 1.6M metric ton annual capacity, plus Aera DAC Hub-Kern and pending Class VI permits for 54M tonnes of additional storage, creating a multi-decade CCS revenue stream supported by $85/ton 45Q tax credits [2]</w:t>
      </w:r>
    </w:p>
    <w:p>
      <w:pPr>
        <w:spacing w:before="40" w:after="40"/>
        <w:ind w:left="283"/>
      </w:pPr>
      <w:r>
        <w:rPr>
          <w:rFonts w:ascii="Calibri" w:hAnsi="Calibri"/>
          <w:b/>
          <w:color w:val="4A6B25"/>
          <w:sz w:val="20"/>
        </w:rPr>
        <w:t xml:space="preserve">2. </w:t>
      </w:r>
      <w:r>
        <w:rPr>
          <w:rFonts w:ascii="Calibri" w:hAnsi="Calibri"/>
          <w:b w:val="0"/>
          <w:color w:val="3A4A28"/>
          <w:sz w:val="20"/>
        </w:rPr>
        <w:t>Aera Energy integration synergies and combined production of 150–155 MBoe/d providing scale advantages in California's largest E&amp;P operation, with 2026 guidance affirmed [1]</w:t>
      </w:r>
    </w:p>
    <w:p>
      <w:pPr>
        <w:spacing w:before="40" w:after="40"/>
        <w:ind w:left="283"/>
      </w:pPr>
      <w:r>
        <w:rPr>
          <w:rFonts w:ascii="Calibri" w:hAnsi="Calibri"/>
          <w:b/>
          <w:color w:val="4A6B25"/>
          <w:sz w:val="20"/>
        </w:rPr>
        <w:t xml:space="preserve">3. </w:t>
      </w:r>
      <w:r>
        <w:rPr>
          <w:rFonts w:ascii="Calibri" w:hAnsi="Calibri"/>
          <w:b w:val="0"/>
          <w:color w:val="3A4A28"/>
          <w:sz w:val="20"/>
        </w:rPr>
        <w:t>PEG ratio of 0.43 and 12.2x forward PE suggest the market significantly underprices CRC's growth trajectory as CCS revenue ramps alongside stable oil production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exposure: 80% oil production mix means a $10/bbl decline in oil prices would compress EBITDAX by $300–400M annually, threatening the 3.19% dividend and free cash flow on a $4.5B market cap [1][5]</w:t>
      </w:r>
    </w:p>
    <w:p>
      <w:pPr>
        <w:spacing w:before="40" w:after="40"/>
        <w:ind w:left="283"/>
      </w:pPr>
      <w:r>
        <w:rPr>
          <w:rFonts w:ascii="Calibri" w:hAnsi="Calibri"/>
          <w:b/>
          <w:color w:val="4A6B25"/>
          <w:sz w:val="20"/>
        </w:rPr>
        <w:t xml:space="preserve">2. </w:t>
      </w:r>
      <w:r>
        <w:rPr>
          <w:rFonts w:ascii="Calibri" w:hAnsi="Calibri"/>
          <w:b w:val="0"/>
          <w:color w:val="3A4A28"/>
          <w:sz w:val="20"/>
        </w:rPr>
        <w:t>Unfunded environmental liability: 11,000+ idle wells with projected cleanup costs exceeding $1B against only $114.7M in bonds, drawing opposition from Sierra Club and Center for Biological Diversity [4]</w:t>
      </w:r>
    </w:p>
    <w:p>
      <w:pPr>
        <w:spacing w:before="40" w:after="40"/>
        <w:ind w:left="283"/>
      </w:pPr>
      <w:r>
        <w:rPr>
          <w:rFonts w:ascii="Calibri" w:hAnsi="Calibri"/>
          <w:b/>
          <w:color w:val="4A6B25"/>
          <w:sz w:val="20"/>
        </w:rPr>
        <w:t xml:space="preserve">3. </w:t>
      </w:r>
      <w:r>
        <w:rPr>
          <w:rFonts w:ascii="Calibri" w:hAnsi="Calibri"/>
          <w:b w:val="0"/>
          <w:color w:val="3A4A28"/>
          <w:sz w:val="20"/>
        </w:rPr>
        <w:t>California regulatory risk: increasingly restrictive state-level permitting for new wells, setback requirements, and climate legislation could constrain production, while CCS litigation could delay Carbon TerraVault expansion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extraction, refining, and carbon capture are fundamentally physical operations requiring wellheads, pipelines, processing plants, and deep geological formations that AI structurally cannot substitute [1]. CRC's 150–155 MBoe/d production across California oil fields and Carbon TerraVault's subsurface CO2 injection involve geology, engineering, and infrastructure beyond AI displacement. AI data center expansion is actually increasing electricity and natural gas demand in California, potentially benefiting CRC's production. The regulatory environment (California-specific permitting, EPA Class VI requirements) adds further structural protection. AI Opportunity (0/1): No AI-driven revenue. CRC is a traditional oil and gas producer with carbon capture operations that are engineering-driven rather than AI-enabled.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California Resources Corporation Q2 2026 and Q1 2026 Earnings Results — SEC Form 8-K, GlobeNewsWire, StockTitan, 2026</w:t>
      </w:r>
    </w:p>
    <w:p>
      <w:pPr>
        <w:spacing w:before="20" w:after="20"/>
        <w:ind w:left="170"/>
      </w:pPr>
      <w:r>
        <w:rPr>
          <w:rFonts w:ascii="Calibri" w:hAnsi="Calibri"/>
          <w:b/>
          <w:color w:val="4A6B25"/>
          <w:sz w:val="15"/>
        </w:rPr>
        <w:t xml:space="preserve">2. </w:t>
      </w:r>
      <w:r>
        <w:rPr>
          <w:rFonts w:ascii="Calibri" w:hAnsi="Calibri"/>
          <w:b w:val="0"/>
          <w:color w:val="3A4A28"/>
          <w:sz w:val="17"/>
        </w:rPr>
        <w:t>Carbon TerraVault I Operations, Aera DAC Hub-Kern, CCS Expansion — CRC.com, GlobeNewsWire, Inside Climate News, 2025–2026</w:t>
      </w:r>
    </w:p>
    <w:p>
      <w:pPr>
        <w:spacing w:before="20" w:after="20"/>
        <w:ind w:left="170"/>
      </w:pPr>
      <w:r>
        <w:rPr>
          <w:rFonts w:ascii="Calibri" w:hAnsi="Calibri"/>
          <w:b/>
          <w:color w:val="4A6B25"/>
          <w:sz w:val="15"/>
        </w:rPr>
        <w:t xml:space="preserve">3. </w:t>
      </w:r>
      <w:r>
        <w:rPr>
          <w:rFonts w:ascii="Calibri" w:hAnsi="Calibri"/>
          <w:b w:val="0"/>
          <w:color w:val="3A4A28"/>
          <w:sz w:val="17"/>
        </w:rPr>
        <w:t>CRC Leadership, CEO Francisco Leon, CSO Chris Gould — Hispanic Executive, CRC.com, Equilar</w:t>
      </w:r>
    </w:p>
    <w:p>
      <w:pPr>
        <w:spacing w:before="20" w:after="20"/>
        <w:ind w:left="170"/>
      </w:pPr>
      <w:r>
        <w:rPr>
          <w:rFonts w:ascii="Calibri" w:hAnsi="Calibri"/>
          <w:b/>
          <w:color w:val="4A6B25"/>
          <w:sz w:val="15"/>
        </w:rPr>
        <w:t xml:space="preserve">4. </w:t>
      </w:r>
      <w:r>
        <w:rPr>
          <w:rFonts w:ascii="Calibri" w:hAnsi="Calibri"/>
          <w:b w:val="0"/>
          <w:color w:val="3A4A28"/>
          <w:sz w:val="17"/>
        </w:rPr>
        <w:t>CRC ESG Ratings, Idle Wells Environmental Liability — Yahoo Finance Sustainability, Inside Climate News, Sierra Club, December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CRC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