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CREG</w:t>
      </w:r>
      <w:r>
        <w:rPr>
          <w:rFonts w:ascii="Calibri" w:hAnsi="Calibri"/>
          <w:b/>
          <w:color w:val="1A2010"/>
          <w:sz w:val="40"/>
        </w:rPr>
        <w:t xml:space="preserve">  Smart Powerr Corp.</w:t>
      </w:r>
    </w:p>
    <w:p>
      <w:pPr>
        <w:spacing w:after="120"/>
      </w:pPr>
      <w:r>
        <w:rPr>
          <w:rFonts w:ascii="Calibri" w:hAnsi="Calibri"/>
          <w:b/>
          <w:color w:val="6E8450"/>
          <w:sz w:val="18"/>
        </w:rPr>
        <w:t>GROWTH SLEEVE · 2026-09-11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Waste Management · NASDAQ · China</w:t>
      </w:r>
    </w:p>
    <w:p>
      <w:pPr>
        <w:spacing w:after="80"/>
      </w:pPr>
      <w:r>
        <w:rPr>
          <w:rFonts w:ascii="Calibri" w:hAnsi="Calibri"/>
          <w:b w:val="0"/>
          <w:color w:val="3A4A28"/>
          <w:sz w:val="20"/>
        </w:rPr>
        <w:t>Smart Powerr Corp. (formerly China Recycling Energy Corporation) is a Nevada-incorporated holding company transitioning from legacy waste gas/waste heat/biomass power generation (Build-Operate-Transfer model for Chinese industrial clients) into an energy storage integrated solutions provider. In 2026 the company partnered with Shidai Huazhi (Jiangsu) Energy Technology, led by former CATL general manager Huang Shilin, to co-develop ultra-fast EV charging stations, intelligent AC-DC microgrids, virtual power plant aggregation, and V2G grid-balancing technology using digital-twin 'energy brain' management software [2]. The company executed a 1-for-10 reverse stock split effective June 16, 2026 to regain Nasdaq minimum bid-price compliance, but shares have since fallen back below $1, and the stock is down roughly 98.5% over the past 52 weeks [1][3]. Headquartered in Xi'an, China and founded in 1980.</w:t>
      </w:r>
    </w:p>
    <w:p>
      <w:r>
        <w:rPr>
          <w:rFonts w:ascii="Calibri" w:hAnsi="Calibri"/>
          <w:b/>
          <w:color w:val="6E8450"/>
          <w:sz w:val="18"/>
        </w:rPr>
        <w:t>14 Employees · https://www.creg-cn.com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rebrand from waste-to-energy recycling toward energy storage integration, and the 2026 strategic cooperation with ex-CATL executive Huang Shilin's Shidai Huazhi to build ultra-fast charging/microgrid/VPP infrastructure, represents a genuine strategic pivot, but Q1 2026 revenue of just $108,353 (versus $547,410 net loss) shows the pivot has not yet produced material commercial results [1][2]. AI Deployment (1/2): The partnership describes an 'energy brain' AI/digital-twin management platform with 'millisecond-level dynamic regulation' and V2G capability, but this is a newly announced collaboration with no company-specific revenue or shipped customer product yet confirmed [2]. Market Share (0/2): With TTM revenue of roughly $350,237, Smart Powerr has no discernible market share in either its legacy waste-energy business or its nascent storage/charging ambitions [1][4]. Product Pipeline (2/2): The Shidai Huazhi partnership cites specific, quantified targets — over 30% adjustable resource response by 2026 for its microgrid technology, annual savings exceeding 1 million yuan per charging station, and 1,000+ tons of annual carbon reduction per station [2]. R&amp;D Intensity (0/1): No R&amp;D-as-percent-of-revenue disclosure relative to industry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Smart Powerr frames its work around China's 'dual carbon' climate goals and reducing industrial carbon emissions through waste recycling and, increasingly, clean energy infrastructure — a clear description of what the company does and why, but the framing is largely interchangeable with numerous Chinese industrial decarbonization peers and has not been validated by consistent execution given the company's repeated business-model pivots [2]. Community Impact (0/2): No evidence of charitable giving, a foundation, or community investment programs was found. Employee Retention (0/2): No tenure or turnover data is available for the 14-person workforce. Insider Buying (0/2): No evidence of net insider buying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 LIQUIDITY FLOOR TRIGGERED: average daily volume of approximately 15,274 shares x stock price of $0.24 = approximately $3,666, drastically below the $1,000,000 minimum liquidity threshold. Infrastructure score is set to 0 regardless of other metrics per the hard rule. The underlying financials are also weak on their own terms: ROE of -1.96%, TTM revenue of only $350,237, and a June 2026 1-for-10 reverse stock split undertaken to cure a Nasdaq minimum bid-price deficiency that has since failed to hold, with shares falling back under $1 and down ~98.5% over 52 weeks [1][3][4].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Smart Powerr's shift toward China's 'dual carbon' clean-energy transition carries a genuine environmental thread, but the company's history of repeated business-model reinvention (waste recycling to energy storage to EV charging/microgrid infrastructure) without corresponding revenue or capital strength reads more as survival-driven drift than sustained, cause-driven conviction. Severe financial distress — a failed reverse split, revenue near zero, and a stock down 98.5% over 52 weeks — leaves no evidence of the costly, principled trade-offs Sinek's framework rewards.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company's decarbonization framing is genuine in intent but shallow in execution — its own business model has shifted from waste-gas recycling to energy storage to EV charging/microgrid partnerships in the span of a few years without the financial results to validate sustained commitment to any single articulation of the cause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evidence of layoffs, turnover, or cultural instability was found for the 14-person organization, but there is also no positive evidence of exceptional retention or empowerment — an average, data-free picture.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acknowledging competitors' strengths or framing competitive dynamics as motivation for self-improvement in any of the available coverage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undergone real business-model transformation — from China Recycling Energy's waste-to-energy recovery model to Smart Powerr's energy storage integration focus, and now a partnership targeting EV charging, microgrids, and virtual power plants — representing adjacent-market evolution, though driven more by revenue necessity amid a collapsing legacy business than a clear, cause-driven strategic bet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results for long-term capability by choice; the company's trajectory — Nasdaq bid-price deficiency, a reverse stock split that has already failed to hold above $1, and near-zero revenue — reflects a defensive survival posture rather than principled, costed strategic sacrifice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Smart Powerr is attempting a genuine strategic pivot from its legacy waste-to-energy recycling business into China's fast-growing energy storage, EV charging, and microgrid infrastructure market, anchored by a 2026 partnership with Shidai Huazhi, led by former CATL general manager Huang Shilin [2]. The collaboration targets ultra-fast charging stations with integrated storage, AC-DC hybrid intelligent microgrids designed for over 30% adjustable resource response by 2026, virtual power plant aggregation, and V2G grid-balancing technology, with each charging station projected to save over 1 million yuan annually and cut 1,000+ tons of carbon emissions — positioning the company, at least directionally, within China's 'dual carbon' policy tailwind [2]. Q1 2026 revenue of $108,353 was up sharply from $20,625 a year earlier off a tiny base, and gross margin of 50% suggests the underlying maintenance-contract business is not structurally unprofitable at the unit level [1].</w:t>
      </w:r>
    </w:p>
    <w:p>
      <w:pPr>
        <w:spacing w:after="120"/>
      </w:pPr>
      <w:r>
        <w:rPr>
          <w:rFonts w:ascii="Calibri" w:hAnsi="Calibri"/>
          <w:b w:val="0"/>
          <w:color w:val="3A4A28"/>
          <w:sz w:val="20"/>
        </w:rPr>
        <w:t>The bear case is overwhelming. Smart Powerr's average daily dollar volume of roughly $3,666 is a small fraction of this framework's $1M liquidity floor, making the stock effectively untradeable at any institutional scale and triggering an automatic Infrastructure score of 0 [1][4]. The company already underwent a 1-for-10 reverse stock split in June 2026 specifically to cure a Nasdaq minimum bid-price deficiency, and the stock has since fallen back under $1 and is down approximately 98.5% over the past 52 weeks — a strong signal of continued delisting risk [1][3]. Revenue remains negligible in absolute terms (TTM ~$350,237) relative to the scale of ambition in the Shidai Huazhi partnership, and the market's own reaction to that partnership announcement (the stock fell 15.35% on the news) suggests investors are skeptical it will translate into near-term financial results [2]. Combined with a history of shifting business models (waste recycling to energy storage to EV charging) without sustained capital or revenue traction, this remains a highly speculative, distressed micro-cap unsuitable for IOWN's liquidity and durability standards.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of the Shidai Huazhi partnership's first ultra-fast charging/microgrid installations, which could provide the first tangible revenue proof point for the energy storage pivot [2]</w:t>
      </w:r>
    </w:p>
    <w:p>
      <w:pPr>
        <w:spacing w:before="40" w:after="40"/>
        <w:ind w:left="283"/>
      </w:pPr>
      <w:r>
        <w:rPr>
          <w:rFonts w:ascii="Calibri" w:hAnsi="Calibri"/>
          <w:b/>
          <w:color w:val="4A6B25"/>
          <w:sz w:val="20"/>
        </w:rPr>
        <w:t xml:space="preserve">2. </w:t>
      </w:r>
      <w:r>
        <w:rPr>
          <w:rFonts w:ascii="Calibri" w:hAnsi="Calibri"/>
          <w:b w:val="0"/>
          <w:color w:val="3A4A28"/>
          <w:sz w:val="20"/>
        </w:rPr>
        <w:t>Potential compliance with Nasdaq's minimum bid-price requirement stabilizing after the June 2026 reverse split, reducing near-term delisting risk if the stock can hold above $1 [1][3]</w:t>
      </w:r>
    </w:p>
    <w:p>
      <w:pPr>
        <w:spacing w:before="40" w:after="40"/>
        <w:ind w:left="283"/>
      </w:pPr>
      <w:r>
        <w:rPr>
          <w:rFonts w:ascii="Calibri" w:hAnsi="Calibri"/>
          <w:b/>
          <w:color w:val="4A6B25"/>
          <w:sz w:val="20"/>
        </w:rPr>
        <w:t xml:space="preserve">3. </w:t>
      </w:r>
      <w:r>
        <w:rPr>
          <w:rFonts w:ascii="Calibri" w:hAnsi="Calibri"/>
          <w:b w:val="0"/>
          <w:color w:val="3A4A28"/>
          <w:sz w:val="20"/>
        </w:rPr>
        <w:t>China's continued 'dual carbon' policy support for energy storage, microgrid, and EV charging infrastructure providing a sector tailwind if Smart Powerr can scale beyond pilot-stage projects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(~$3,666 average daily dollar volume) makes the stock effectively untradeable at institutional scale and automatically fails this framework's liquidity floor [1][4]</w:t>
      </w:r>
    </w:p>
    <w:p>
      <w:pPr>
        <w:spacing w:before="40" w:after="40"/>
        <w:ind w:left="283"/>
      </w:pPr>
      <w:r>
        <w:rPr>
          <w:rFonts w:ascii="Calibri" w:hAnsi="Calibri"/>
          <w:b/>
          <w:color w:val="4A6B25"/>
          <w:sz w:val="20"/>
        </w:rPr>
        <w:t xml:space="preserve">2. </w:t>
      </w:r>
      <w:r>
        <w:rPr>
          <w:rFonts w:ascii="Calibri" w:hAnsi="Calibri"/>
          <w:b w:val="0"/>
          <w:color w:val="3A4A28"/>
          <w:sz w:val="20"/>
        </w:rPr>
        <w:t>Renewed Nasdaq delisting risk after the stock fell back below $1 following a June 2026 reverse split intended to cure the same minimum bid-price deficiency [1][3]</w:t>
      </w:r>
    </w:p>
    <w:p>
      <w:pPr>
        <w:spacing w:before="40" w:after="40"/>
        <w:ind w:left="283"/>
      </w:pPr>
      <w:r>
        <w:rPr>
          <w:rFonts w:ascii="Calibri" w:hAnsi="Calibri"/>
          <w:b/>
          <w:color w:val="4A6B25"/>
          <w:sz w:val="20"/>
        </w:rPr>
        <w:t xml:space="preserve">3. </w:t>
      </w:r>
      <w:r>
        <w:rPr>
          <w:rFonts w:ascii="Calibri" w:hAnsi="Calibri"/>
          <w:b w:val="0"/>
          <w:color w:val="3A4A28"/>
          <w:sz w:val="20"/>
        </w:rPr>
        <w:t>Revenue remains negligible (TTM ~$350,237) relative to the scale of the company's stated energy storage/EV charging ambitions, and the market sold off 15.35% on the Shidai Huazhi partnership announcement, signaling skepticism about near-term execution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Smart Powerr's business — physical waste-energy recovery infrastructure and, increasingly, energy storage, EV charging hardware, and grid infrastructure — is immune to direct AI substitution, since AI cannot replace physical power generation and charging equipment; if anything, rising AI/data-center electricity demand in China is a secular tailwind for energy infrastructure providers [2]. No analyst commentary suggesting AI threatens this company's core business was found. AI Opportunity (0/1): The newly announced Shidai Huazhi partnership incorporates an AI-driven 'energy brain' digital-twin management platform for microgrid and V2G optimization, but no company-specific quantified AI revenue has yet been disclosed since the partnership was only recently announced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Smart Powerr Q1 2026 Financial Results — StockTitan SEC filing summary, PitchBook, 2026</w:t>
      </w:r>
    </w:p>
    <w:p>
      <w:pPr>
        <w:spacing w:before="20" w:after="20"/>
        <w:ind w:left="170"/>
      </w:pPr>
      <w:r>
        <w:rPr>
          <w:rFonts w:ascii="Calibri" w:hAnsi="Calibri"/>
          <w:b/>
          <w:color w:val="4A6B25"/>
          <w:sz w:val="15"/>
        </w:rPr>
        <w:t xml:space="preserve">2. </w:t>
      </w:r>
      <w:r>
        <w:rPr>
          <w:rFonts w:ascii="Calibri" w:hAnsi="Calibri"/>
          <w:b w:val="0"/>
          <w:color w:val="3A4A28"/>
          <w:sz w:val="17"/>
        </w:rPr>
        <w:t>Smart Powerr Strategic Partnership with Shidai Huazhi (Ex-CATL Executive) — StockTitan, 2026</w:t>
      </w:r>
    </w:p>
    <w:p>
      <w:pPr>
        <w:spacing w:before="20" w:after="20"/>
        <w:ind w:left="170"/>
      </w:pPr>
      <w:r>
        <w:rPr>
          <w:rFonts w:ascii="Calibri" w:hAnsi="Calibri"/>
          <w:b/>
          <w:color w:val="4A6B25"/>
          <w:sz w:val="15"/>
        </w:rPr>
        <w:t xml:space="preserve">3. </w:t>
      </w:r>
      <w:r>
        <w:rPr>
          <w:rFonts w:ascii="Calibri" w:hAnsi="Calibri"/>
          <w:b w:val="0"/>
          <w:color w:val="3A4A28"/>
          <w:sz w:val="17"/>
        </w:rPr>
        <w:t>Smart Powerr Reverse Stock Split and Nasdaq Bid Price Compliance — Yahoo Finance, SEC 8-K filings, June-September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CREG Key Statistics and Financial Health,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