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CRF</w:t>
      </w:r>
      <w:r>
        <w:rPr>
          <w:rFonts w:ascii="Calibri" w:hAnsi="Calibri"/>
          <w:b/>
          <w:color w:val="1A2010"/>
          <w:sz w:val="40"/>
        </w:rPr>
        <w:t xml:space="preserve">  Cornerstone Total Return Fund, Inc.</w:t>
      </w:r>
    </w:p>
    <w:p>
      <w:pPr>
        <w:spacing w:after="120"/>
      </w:pPr>
      <w:r>
        <w:rPr>
          <w:rFonts w:ascii="Calibri" w:hAnsi="Calibri"/>
          <w:b/>
          <w:color w:val="6E8450"/>
          <w:sz w:val="18"/>
        </w:rPr>
        <w:t>DIVIDEND SLEEVE · 2026-09-16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American · United States</w:t>
      </w:r>
    </w:p>
    <w:p>
      <w:pPr>
        <w:spacing w:after="80"/>
      </w:pPr>
      <w:r>
        <w:rPr>
          <w:rFonts w:ascii="Calibri" w:hAnsi="Calibri"/>
          <w:b w:val="0"/>
          <w:color w:val="3A4A28"/>
          <w:sz w:val="20"/>
        </w:rPr>
        <w:t>Cornerstone Total Return Fund is a diversified, closed-end management investment company incorporated in 1973. Managed by Cornerstone Advisors LLC (Ralph Bradshaw, Chairman), the fund invests in U.S. public equity markets across all capitalizations and sectors, including through other closed-end funds and ETFs. It operates a managed distribution policy targeting 21% of NAV annually, with monthly distributions of $0.1176/share for 2026. NAV was $6.52/share as of December 31, 2025, with total net assets of $1,049.4M.</w:t>
      </w:r>
    </w:p>
    <w:p>
      <w:r>
        <w:rPr>
          <w:rFonts w:ascii="Calibri" w:hAnsi="Calibri"/>
          <w:b/>
          <w:color w:val="6E8450"/>
          <w:sz w:val="18"/>
        </w:rPr>
        <w:t>https://www.cornerstonetotalreturnfund.com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CRF is a passive closed-end fund that invests in other funds and ETFs — no products, no business model innovation, and no meaningful strategic pivots in its 53-year history. FY2025 total investment return at market was 14.3% after reinvesting distributions, trailing the S&amp;P 500 [1]. AI Deployment (0/2): No AI deployment or strategy; the fund is managed by Cornerstone Advisors LLC with a straightforward equity allocation approach [2]. Market Share (1/2): CRF maintains recognition among income-seeking retail investors through its 21% managed distribution policy. The fund now trades at a ~6% discount to NAV ($6.15 vs $6.52 NAV), a significant deterioration from the ~21% premium historically commanded, suggesting declining brand value [1][3]. Pipeline (0/2): No product pipeline; the fund's strategy has remained unchanged for decades. R&amp;D Intensity (1/1): Fund management fees fund the advisory relationship at industry-average rates for closed-end fund management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CRF has no mission, purpose, or vision statement beyond generating returns and distributions for shareholders. The fund exists as a purely transactional financial vehicle with no articulated higher purpose [1]. Community Impact (0/2): No evidence of charitable programs, community investment, or social impact beyond distributions to shareholders. Employee Retention (0/2): The fund has no employees; it is externally managed by Cornerstone Advisors LLC [2]. Insider Buying (0/2): Net insider selling with no insider purchases reported in the past 12 months, indicating management lacks conviction in the fund's value proposition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Zero debt (D/E 0%) scores 1.0 [4]. ROE of 17.3% exceeds the 15% target, scoring 1.0, though this reflects equity market returns rather than operating efficiency [4]. Revenue (investment income) declined 32.4% in the most recent period, scoring 0.0 — fund income is highly variable [4]. Profit margin of 15.8% is below the 20% target, scoring 0.79. The critical structural weakness is the 127% payout ratio — FY2025 distributions of ~$1.41/share against investment income require systematic return of capital, scoring 0.0 [1][3]. Consecutive years paid (~41) scores maximum (2x weight), but consecutive years of distribution growth is 0 (distributions decline with NAV erosion) and 5-year dividend growth CAGR of approximately -7.8% scores 0.0 (2x weight) [3]. Forward P/E and 5yr revenue CAGR unavailable, excluded from calculation. Liquidity adequate at ~$8.6M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Cornerstone Total Return Fund epitomizes finite game thinking — it exists to generate the highest possible current distribution, even at the cost of systematic NAV erosion. The 21% managed distribution policy funded by return of capital is the opposite of playing to keep playing; it consumes the fund's own assets to maintain the appearance of income. There is no cause, no organizational trust, no strategic flexibility, and no competitive awareness. The fund's 53-year existence reflects legal structure durability, not infinite game leadership.</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CRF has no Just Cause. The fund's sole purpose is to generate distributions for shareholders, with no vision of a better future, no aspiration beyond financial returns, and no articulated reason for existence beyond the managed distribution policy [1]. This is a purely transactional financial vehicle.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CRF has no employees and is externally managed by Cornerstone Advisors LLC. Trust between shareholders and the advisor appears strained: insider selling, a 2025 rights offering that diluted existing shareholders while recapitalizing the distribution program, and a distribution policy widely criticized as returning shareholders' own capital [3][4]. The premium-to-NAV collapse to a ~6% discount signals eroding investor confidence.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CRF or Cornerstone Advisors acknowledges worthy rivals or uses competitive dynamics to improve. The fund operates in a universe of closed-end funds, ETFs, and AI-powered income platforms but shows no competitive awareness — the strategy has remained essentially unchanged for 53 years despite profound changes in the investment landscape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CRF has operated the same strategy for 53 years with no meaningful evolution. Rather than adapting to a market where low-cost income alternatives proliferate, the fund has maintained its 21% distribution rate even as per-share NAV erodes and distributions decline at -7.8% 5-year CAGR [3]. The 2025 rights offering recapitalized the distribution program rather than reforming it — the antithesis of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Maintaining an unsustainable 21% distribution rate when the payout ratio is 127% and per-share dividends are declining is the path of least resistance — it keeps retail income seekers satisfied short-term while systematically destroying long-term value [1][3]. A courageous leader would reduce the distribution rate to a sustainable level to preserve NAV, accepting short-term selling to build long-term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CRF now trades at a ~6% discount to NAV ($6.15 vs $6.52 NAV as of year-end 2025), a significant improvement from the ~21% premium historically charged — meaning investors can now buy the underlying assets at a discount rather than overpaying [1][3]. The 23% trailing dividend yield backed by a 41-year distribution history appeals to income-seeking investors, and zero debt provides downside protection during corrections. FY2025 total return at market of 14.3% demonstrates the fund participates in equity upside through its diversified stock and ETF holdings, and P/E of 5.5x on recent earnings creates optically attractive valuation [1].</w:t>
      </w:r>
    </w:p>
    <w:p>
      <w:pPr>
        <w:spacing w:after="120"/>
      </w:pPr>
      <w:r>
        <w:rPr>
          <w:rFonts w:ascii="Calibri" w:hAnsi="Calibri"/>
          <w:b w:val="0"/>
          <w:color w:val="3A4A28"/>
          <w:sz w:val="20"/>
        </w:rPr>
        <w:t>The bear case is structural and overwhelming. CRF's 21% managed distribution policy is funded primarily by return of capital — the 127% payout ratio confirms the fund systematically returns shareholders' own money, with per-share distributions declining at a -7.8% 5-year CAGR [3]. Investment income dropped 32.4% in the most recent period, further straining the distribution's sustainability [4]. Each year's distributions that exceed investment income erode the NAV base, creating a downward spiral: lower NAV means lower future dollar distributions (since the rate is 21% of NAV), which means the yield-driven premium disappears, which means more selling, which accelerates NAV decline. The premium-to-NAV collapse from ~21% to a ~6% discount demonstrates this dynamic in action. The fund has no employees, no mission, no innovation, no strategy beyond maintaining an unsustainable distribution, and insider selling signals management skepticism at these levels [4]. Retail investors would be better served by a low-cost index ETF with a sustainable 2% yield and 10% annual price appreciation.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Equity market rally — CRF's returns are directly tied to U.S. equity performance, and a sustained bull market exceeding 21% annually would temporarily sustain distributions and stabilize NAV, potentially restoring a premium [1]</w:t>
      </w:r>
    </w:p>
    <w:p>
      <w:pPr>
        <w:spacing w:before="40" w:after="40"/>
        <w:ind w:left="283"/>
      </w:pPr>
      <w:r>
        <w:rPr>
          <w:rFonts w:ascii="Calibri" w:hAnsi="Calibri"/>
          <w:b/>
          <w:color w:val="4A6B25"/>
          <w:sz w:val="20"/>
        </w:rPr>
        <w:t xml:space="preserve">2. </w:t>
      </w:r>
      <w:r>
        <w:rPr>
          <w:rFonts w:ascii="Calibri" w:hAnsi="Calibri"/>
          <w:b w:val="0"/>
          <w:color w:val="3A4A28"/>
          <w:sz w:val="20"/>
        </w:rPr>
        <w:t>Discount-to-NAV entry provides slight margin of safety vs historical premium levels — buying $6.52 of assets for $6.15 is the most favorable entry math for CRF in years [1][3]</w:t>
      </w:r>
    </w:p>
    <w:p>
      <w:pPr>
        <w:spacing w:before="40" w:after="40"/>
        <w:ind w:left="283"/>
      </w:pPr>
      <w:r>
        <w:rPr>
          <w:rFonts w:ascii="Calibri" w:hAnsi="Calibri"/>
          <w:b/>
          <w:color w:val="4A6B25"/>
          <w:sz w:val="20"/>
        </w:rPr>
        <w:t xml:space="preserve">3. </w:t>
      </w:r>
      <w:r>
        <w:rPr>
          <w:rFonts w:ascii="Calibri" w:hAnsi="Calibri"/>
          <w:b w:val="0"/>
          <w:color w:val="3A4A28"/>
          <w:sz w:val="20"/>
        </w:rPr>
        <w:t>Distribution policy reform — reducing the 21% target to a sustainable 8-10% level would stabilize NAV and signal long-term thinking, though this scenario has zero historical precedent for CRF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Systematic NAV erosion — 127% payout ratio funded by return of capital ensures the fund's per-share asset base shrinks annually, with distributions declining at -7.8% 5yr CAGR, creating a terminal decline trajectory unless market returns consistently exceed 21% [3]</w:t>
      </w:r>
    </w:p>
    <w:p>
      <w:pPr>
        <w:spacing w:before="40" w:after="40"/>
        <w:ind w:left="283"/>
      </w:pPr>
      <w:r>
        <w:rPr>
          <w:rFonts w:ascii="Calibri" w:hAnsi="Calibri"/>
          <w:b/>
          <w:color w:val="4A6B25"/>
          <w:sz w:val="20"/>
        </w:rPr>
        <w:t xml:space="preserve">2. </w:t>
      </w:r>
      <w:r>
        <w:rPr>
          <w:rFonts w:ascii="Calibri" w:hAnsi="Calibri"/>
          <w:b w:val="0"/>
          <w:color w:val="3A4A28"/>
          <w:sz w:val="20"/>
        </w:rPr>
        <w:t>Further premium collapse — the shift from ~21% premium to ~6% discount may continue as investors increasingly understand the return-of-capital mechanics, potentially triggering a deeper discount if income-seekers exit en masse [1][3]</w:t>
      </w:r>
    </w:p>
    <w:p>
      <w:pPr>
        <w:spacing w:before="40" w:after="40"/>
        <w:ind w:left="283"/>
      </w:pPr>
      <w:r>
        <w:rPr>
          <w:rFonts w:ascii="Calibri" w:hAnsi="Calibri"/>
          <w:b/>
          <w:color w:val="4A6B25"/>
          <w:sz w:val="20"/>
        </w:rPr>
        <w:t xml:space="preserve">3. </w:t>
      </w:r>
      <w:r>
        <w:rPr>
          <w:rFonts w:ascii="Calibri" w:hAnsi="Calibri"/>
          <w:b w:val="0"/>
          <w:color w:val="3A4A28"/>
          <w:sz w:val="20"/>
        </w:rPr>
        <w:t>Dilutive capital raises — the 2025 rights offering expanded shares outstanding, setting a precedent for recurring dilution to recapitalize the distribution program while further depressing per-share NAV and distributions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CRF is a closed-end equity fund — its underlying assets are publicly traded stocks and other funds, which AI cannot directly displace or substitute [1]. The closed-end structure provides natural protection against the redemption pressure that threatens open-end mutual funds. However, the rise of AI-powered investment platforms, robo-advisors, and low-cost income ETFs creates secular competitive pressure on high-fee closed-end fund structures, and AI-powered financial literacy tools may help retail investors understand the return-of-capital math that sustains CRF's distribution policy [3]. The premium-to-NAV collapse to a discount suggests this process is already underway. AI Opportunity (0/1): CRF does not generate revenue from AI products or services; any AI exposure is indirect through portfolio holdings of technology stocks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Cornerstone Total Return Fund FY2025 Annual Report (N-CSR) — NAV $1,049.4M ($6.52/share), Total Return at Market 14.3%, distributions $1.41/share,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Cornerstone Funds Distribution Announcement — Monthly distributions of $0.1176/share, 21% annualized distribution rate maintained for 2026 and 2027, Nasdaq Press Release,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CRF Premium-to-NAV and Distribution Analysis — Premium collapsed from ~21% to ~6% discount, return of capital concerns, payout ratio 127%, 5yr dividend CAGR -7.8%,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CRF Financial Statistics — Yahoo Finance: Stock Price $6.15, P/E 5.54, ROE 17.3%, Dividend Yield 22.95%, Revenue Growth -32.4%, Avg Volume 1.4M, Insider Selling Activity,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