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CRH</w:t>
      </w:r>
      <w:r>
        <w:rPr>
          <w:rFonts w:ascii="Calibri" w:hAnsi="Calibri"/>
          <w:b/>
          <w:color w:val="1A2010"/>
          <w:sz w:val="40"/>
        </w:rPr>
        <w:t xml:space="preserve">  CRH plc</w:t>
      </w:r>
    </w:p>
    <w:p>
      <w:pPr>
        <w:spacing w:after="120"/>
      </w:pPr>
      <w:r>
        <w:rPr>
          <w:rFonts w:ascii="Calibri" w:hAnsi="Calibri"/>
          <w:b/>
          <w:color w:val="6E8450"/>
          <w:sz w:val="18"/>
        </w:rPr>
        <w:t>GROWTH SLEEVE · 2026-08-25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Building Materials · NYSE · Ireland</w:t>
      </w:r>
    </w:p>
    <w:p>
      <w:pPr>
        <w:spacing w:after="80"/>
      </w:pPr>
      <w:r>
        <w:rPr>
          <w:rFonts w:ascii="Calibri" w:hAnsi="Calibri"/>
          <w:b w:val="0"/>
          <w:color w:val="3A4A28"/>
          <w:sz w:val="20"/>
        </w:rPr>
        <w:t>CRH plc is the global leader in building materials solutions, operating across North America and Europe with leadership positions in aggregates, cement, ready-mixed concrete, asphalt, and paving. The company serves critical infrastructure, commercial, and residential construction markets through approximately 3,100 operating locations in 28 countries. CEO Jim Mintern leads the company with 20+ years of CRH tenure. Q2 2026 revenue reached $10.8B (+6% YoY) with adjusted EBITDA of $2.6B (+7% YoY) and net income of $1.486B ($2.21 EPS). Full-year 2026 guidance projects adjusted EBITDA of $8.1-8.5B, net income of $3.9-4.1B, and EPS of $5.60-6.05. Market cap approximately $63 billion.</w:t>
      </w:r>
    </w:p>
    <w:p>
      <w:r>
        <w:rPr>
          <w:rFonts w:ascii="Calibri" w:hAnsi="Calibri"/>
          <w:b/>
          <w:color w:val="6E8450"/>
          <w:sz w:val="18"/>
        </w:rPr>
        <w:t>79,800 Employees · https://www.crh.com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CRH executed 38 value-accretive acquisitions totaling $4.1B in 2025 and completed the transformative $8.5B acquisition of Arcosa, Inc., significantly expanding its aggregates and construction products footprint in U.S. Sun Belt markets [1][2]. The $2.1B acquisition of Eco Material Technologies in 2025 added Supplementary Cementitious Materials capability, positioning CRH in the low-carbon cement value chain. These are acquisition-driven rather than organic product innovations, but they redefined CRH's strategic profile. AI Deployment (1/2): CRH Ventures led Series A investment in Voda.ai (AI-driven predictive analytics for water utilities) and Series B in Fido AI (AI-powered leak detection), demonstrating strategic AI exploration in adjacent infrastructure markets, though no quantified AI-driven revenue or cost savings from core operations have been reported [3]. Market Share (2/2): CRH is the undisputed global leader in building materials and the #1 infrastructure play in North America, with dominant share positions in aggregates, cement, and paving across key U.S. states — confirmed by ~$63B market cap and $38B+ TTM revenue [1][4]. Product Pipeline (1/2): Over $5B acquisition pipeline through 2026 with $1.7B invested in organic growth capex in 2025; the 2030 strategic plan targets 7-9% annual revenue growth and 22-24% adjusted EBITDA margin [2][5]. Pipeline visibility is M&amp;A-driven rather than product-innovation driven. R&amp;D Intensity (1/1): Significant capital investment in sustainability-related innovation including low-carbon cement technologies, recycled aggregates, and circularity initiatives, above the building materials industry average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CRH articulates its purpose as 'Building our World. Shaping the Future,' which identifies what the company does and connects it to a broader societal impact through infrastructure development, but remains somewhat generic for a building materials company and could apply to several peers [5]. The entrepreneurial culture emphasis adds operational distinctiveness but the mission lacks the specificity to be transformative. Community Impact (1/2): CRH operating companies engage in community partnerships, including approximately 4,070 educational interactions and partnerships with technical schools to create construction career pathways [6]. CRH's sustainability framework addresses Water, Circularity, and Decarbonization as hard-to-solve societal challenges. Recognized by DJSI, MSCI ESG Leaders, FTSE4Good, and STOXX Global ESG Leaders indices [5]. However, no specific charitable foundation or dollar amounts for giving were identified. Employee Retention (1/2): CRH expanded its Management Essentials Program (MEP) in 2025, reaching approximately 2,800 mid-level leaders in eight languages, signaling investment in people development [6]. The company has operated for 50+ years with consistent leadership culture. However, Glassdoor rating of 3.7/5 (1,118 reviews) with culture at 3.4/5 and reviews citing leadership disconnect suggest average retention [3]. Insider Buying (1/2): Director Siobhan Talbot purchased 2,000 shares in March 2026, and insider activity shows three buys versus one sell over the past year, indicating modest net insider buying. However, mixed signals with some executive selling dilute the conviction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sleeve weighting (yield 1.51% below 2% threshold despite 50+ year dividend history). Q2 2026 delivered revenue of $10.8B (+6% YoY) with adjusted EBITDA of $2.6B (+7%) and full-year guidance of EPS $5.60-6.05 [1][2]. D/E of 77.59% is near the 70% target, supported by investment-grade credit profile. ROE of 15.81% meets the 15% target [8]. Forward P/E of 16.0x is well below the 20x target, providing a valuation tailwind. Revenue growth YoY of 6.33% and 5yr CAGR of approximately 8% approach but trail the 10% targets. Profit margin of 9.94% is structurally constrained by the capital-intensive nature of building materials, well below the 20% target. Forward PEG of 1.88 scores moderately against the 1.0 target with 2x weight, dragging the composite. Liquidity floor easily cleared with ~$435M daily trading value on average volume of 4.56M shares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CRH operates with a moderately infinite mindset, sustained for 50+ years through consistent dividend payments, adaptive M&amp;A strategy, and a decentralized entrepreneurial operating model built to endure. However, growth has been primarily acquisition-driven rather than purpose-driven, and the Just Cause — while genuine — has not been tested through the kind of transformative crisis or reinvention that Sinek's exemplars demonstrate. The company's 2030 strategic targets and sustainability framework show long-term thinking, but the competitive posture remains oriented toward market consolidation rather than self-improvement.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CRH's purpose to 'build, connect and improve our world' is genuine and connects its work to societal infrastructure needs [5]. The company's 50+ year history of consistent operations, dividend payments, and infrastructure investment demonstrates a cause lived out over decades. Strategic decisions — investing in low-carbon cement, water infrastructure, and sustainability with 2030 targets — can be traced to this purpose. However, the cause has not been tested through a transformative crisis or leadership transition, and the mission remains operational ('we build things') rather than the kind of bold, idealistic vision Sinek requires for the highest tier.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CRH's decentralized, entrepreneurial operating model empowers local leaders to make decisions, which is inherently a trust-based structure [5]. CEO Jim Mintern's 20+ year tenure provides leadership continuity, and the Management Essentials Program reaching 2,800 mid-level leaders demonstrates people development investment [6]. However, Glassdoor reviews (3.4/5 culture score) describe a disconnect between senior leadership and operations — 'executive leadership is far too separated from the work being done' [3]. Adequate trust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CRH's competitive language focuses on being 'the leading provider' and serving growing markets rather than defeating specific competitors [5]. The company's acquisition strategy builds capability and expands addressable markets rather than eliminating rivals. The 2026-2030 strategic outlook emphasizes structural demand tailwinds (IIJA, water upgrades, data centers, reindustrialization) rather than competitive conquest [1][2], suggesting a mindset oriented toward serving growing markets rather than winning zero-sum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CRH has evolved meaningfully over its 50+ year history — from an Irish cement company to the global leader in building materials, including the 2023 primary NYSE listing to access U.S. capital markets [5]. The company has entered adjacent markets (water infrastructure, sustainability solutions, data center construction materials) and divested non-core operations while doubling down on North American infrastructure. These are significant incremental adaptations rather than transformative reinventions, and the M&amp;A-driven evolution was financially motivated rather than cause-driven.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CRH demonstrated strategic courage with the September 2023 NYSE primary listing, the $8.5B Arcosa acquisition (record deal), and sustained investment of $4.1B across 38 acquisitions in 2025 while returning $3.9B to shareholders [1][2]. The commitment to low-carbon cement and 2030 sustainability targets represents forward-looking investment. However, these decisions were financially motivated (better multiples, consolidation opportunity) rather than costly long-term bets made during adversity. CRH's massive scale (~$63B market cap) means individual bets carry less relative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CRH at 16x forward earnings is the dominant global building materials franchise positioned at the intersection of multiple structural demand tailwinds — IIJA infrastructure spending, water infrastructure modernization, data center construction, and U.S. reindustrialization [1][5]. Q2 2026 delivered $10.8B revenue (+6% YoY) with $2.6B adjusted EBITDA (+7%), and full-year guidance projects EPS of $5.60-6.05 with adjusted EBITDA of $8.1-8.5B [1][2]. The $8.5B Arcosa acquisition further consolidates CRH's position in high-growth U.S. Sun Belt construction materials. ROE of 15.81%, D/E of 77.59%, and a conservative 23% payout ratio supporting a growing dividend (50 consecutive years paid) reflect financial durability [8]. The Inspire Impact Score of 53 (ALIGNED) with zero negative attributions positions CRH favorably for faith-based investors.</w:t>
      </w:r>
    </w:p>
    <w:p>
      <w:pPr>
        <w:spacing w:after="120"/>
      </w:pPr>
      <w:r>
        <w:rPr>
          <w:rFonts w:ascii="Calibri" w:hAnsi="Calibri"/>
          <w:b w:val="0"/>
          <w:color w:val="3A4A28"/>
          <w:sz w:val="20"/>
        </w:rPr>
        <w:t>The bear case centers on CRH's acquisition-dependent growth model and structural margin limitations. The company deployed $4.1B across 38 acquisitions in 2025 plus the $8.5B Arcosa deal — integration risk accumulates at this pace and management bandwidth is stretched [1][2]. Revenue growth YoY of 6.33% and profit margin of 9.94% are both well below the 10% and 20% targets respectively, reflecting the inherent growth and profitability ceiling of a capital-intensive building materials business [8]. The stock has declined from ~$112 to $95 since June 2026, suggesting the market may be pricing in deceleration from the Q1 2026 growth pace (+9% revenue) to Q2's more modest +6%. Geographic concentration in North America and Europe exposes CRH to regional construction cycles, and IIJA spending could slow under future administrations. The PEG of 1.88 suggests moderate but not compelling growth-adjusted value. Glassdoor culture scores (3.4/5) and leadership disconnect concerns warrant monitoring for organizational health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Infrastructure Investment and Jobs Act (IIJA) spending acceleration in 2026-2027 driving sustained demand for aggregates, cement, and paving — CRH is the largest direct beneficiary as the #1 North American building materials producer with $1.2T in authorized spending still being deployed [1][5]</w:t>
      </w:r>
    </w:p>
    <w:p>
      <w:pPr>
        <w:spacing w:before="40" w:after="40"/>
        <w:ind w:left="283"/>
      </w:pPr>
      <w:r>
        <w:rPr>
          <w:rFonts w:ascii="Calibri" w:hAnsi="Calibri"/>
          <w:b/>
          <w:color w:val="4A6B25"/>
          <w:sz w:val="20"/>
        </w:rPr>
        <w:t xml:space="preserve">2. </w:t>
      </w:r>
      <w:r>
        <w:rPr>
          <w:rFonts w:ascii="Calibri" w:hAnsi="Calibri"/>
          <w:b w:val="0"/>
          <w:color w:val="3A4A28"/>
          <w:sz w:val="20"/>
        </w:rPr>
        <w:t>Arcosa acquisition ($8.5B) integration delivering synergies and expanding aggregates reserves and infrastructure products capacity across high-growth U.S. Sun Belt markets, potentially driving 8-10%+ revenue growth in FY2026 [1][2]</w:t>
      </w:r>
    </w:p>
    <w:p>
      <w:pPr>
        <w:spacing w:before="40" w:after="40"/>
        <w:ind w:left="283"/>
      </w:pPr>
      <w:r>
        <w:rPr>
          <w:rFonts w:ascii="Calibri" w:hAnsi="Calibri"/>
          <w:b/>
          <w:color w:val="4A6B25"/>
          <w:sz w:val="20"/>
        </w:rPr>
        <w:t xml:space="preserve">3. </w:t>
      </w:r>
      <w:r>
        <w:rPr>
          <w:rFonts w:ascii="Calibri" w:hAnsi="Calibri"/>
          <w:b w:val="0"/>
          <w:color w:val="3A4A28"/>
          <w:sz w:val="20"/>
        </w:rPr>
        <w:t>Data center construction boom requiring massive quantities of concrete, aggregates, and site preparation materials — CRH is the primary building materials beneficiary of the AI infrastructure buildout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 integration risk accumulating from 38 deals in 2025 plus the $8.5B Arcosa acquisition — execution missteps during a potential construction cycle slowdown could destroy shareholder value and increase leverage [1][2]</w:t>
      </w:r>
    </w:p>
    <w:p>
      <w:pPr>
        <w:spacing w:before="40" w:after="40"/>
        <w:ind w:left="283"/>
      </w:pPr>
      <w:r>
        <w:rPr>
          <w:rFonts w:ascii="Calibri" w:hAnsi="Calibri"/>
          <w:b/>
          <w:color w:val="4A6B25"/>
          <w:sz w:val="20"/>
        </w:rPr>
        <w:t xml:space="preserve">2. </w:t>
      </w:r>
      <w:r>
        <w:rPr>
          <w:rFonts w:ascii="Calibri" w:hAnsi="Calibri"/>
          <w:b w:val="0"/>
          <w:color w:val="3A4A28"/>
          <w:sz w:val="20"/>
        </w:rPr>
        <w:t>Profit margin of 9.94% reflects structural limitations of the building materials industry, and rising energy/input costs could compress margins further — the gap to the 20% target is not closable through operational improvement alone [8]</w:t>
      </w:r>
    </w:p>
    <w:p>
      <w:pPr>
        <w:spacing w:before="40" w:after="40"/>
        <w:ind w:left="283"/>
      </w:pPr>
      <w:r>
        <w:rPr>
          <w:rFonts w:ascii="Calibri" w:hAnsi="Calibri"/>
          <w:b/>
          <w:color w:val="4A6B25"/>
          <w:sz w:val="20"/>
        </w:rPr>
        <w:t xml:space="preserve">3. </w:t>
      </w:r>
      <w:r>
        <w:rPr>
          <w:rFonts w:ascii="Calibri" w:hAnsi="Calibri"/>
          <w:b w:val="0"/>
          <w:color w:val="3A4A28"/>
          <w:sz w:val="20"/>
        </w:rPr>
        <w:t>Dependence on U.S. federal infrastructure policy creates political risk — IIJA spending could slow under future administrations, tariff changes could affect material costs, and rising interest rates would dampen commercial and residential construction activity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CRH's core business — aggregates extraction, cement manufacturing, asphalt paving, and infrastructure construction — is structurally immune to AI disruption [1][5]. These are physical-world operations requiring massive capital infrastructure (kilns, quarries, heavy equipment, distribution networks) that no AI system can replicate or substitute. The delivery and installation of concrete, aggregates, and road surfaces requires on-site labor and logistics that AI cannot displace. AI-driven demand tailwinds benefit CRH directly — data center construction requires massive quantities of concrete, aggregates, and infrastructure materials, making CRH a primary beneficiary of the AI buildout rather than a victim [5]. Analysts see zero substitution risk for building materials. AI Opportunity (0/1): While CRH Ventures has made strategic investments in AI-adjacent startups (Voda.ai, Fido AI), the company does not generate quantifiable revenue from AI products or services [3]. These investments are venture-stage and do not yet contribute to CRH's revenue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CRH plc Q1 2026 Earnings — Revenue $7.4B (+9% YoY), Adjusted EBITDA $586M (+18%), Full-Year Guidance Reaffirmed — GuruFocus, Yahoo Finance, StockTitan, April 2026</w:t>
      </w:r>
    </w:p>
    <w:p>
      <w:pPr>
        <w:spacing w:before="20" w:after="20"/>
        <w:ind w:left="170"/>
      </w:pPr>
      <w:r>
        <w:rPr>
          <w:rFonts w:ascii="Calibri" w:hAnsi="Calibri"/>
          <w:b/>
          <w:color w:val="4A6B25"/>
          <w:sz w:val="15"/>
        </w:rPr>
        <w:t xml:space="preserve">2. </w:t>
      </w:r>
      <w:r>
        <w:rPr>
          <w:rFonts w:ascii="Calibri" w:hAnsi="Calibri"/>
          <w:b w:val="0"/>
          <w:color w:val="3A4A28"/>
          <w:sz w:val="17"/>
        </w:rPr>
        <w:t>CRH plc Q2 2026 Earnings — Revenue $10.8B (+6% YoY), Adjusted EBITDA $2.6B (+7%), Net Income $1.486B, EPS $2.21, FY2026 Guidance: EBITDA $8.1-8.5B, NI $3.9-4.1B — Investing.com,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CRH Leadership and Culture — CEO Jim Mintern (20+ yr tenure), Glassdoor 3.7/5 (1,118 reviews), Culture 3.4/5, CRH Ventures AI investments (Voda.ai, Fido AI) — Glassdoor, Insider Monkey, Equilar, 2026</w:t>
      </w:r>
    </w:p>
    <w:p>
      <w:pPr>
        <w:spacing w:before="20" w:after="20"/>
        <w:ind w:left="170"/>
      </w:pPr>
      <w:r>
        <w:rPr>
          <w:rFonts w:ascii="Calibri" w:hAnsi="Calibri"/>
          <w:b/>
          <w:color w:val="4A6B25"/>
          <w:sz w:val="15"/>
        </w:rPr>
        <w:t xml:space="preserve">4. </w:t>
      </w:r>
      <w:r>
        <w:rPr>
          <w:rFonts w:ascii="Calibri" w:hAnsi="Calibri"/>
          <w:b w:val="0"/>
          <w:color w:val="3A4A28"/>
          <w:sz w:val="17"/>
        </w:rPr>
        <w:t>CRH FY2025 Results — Revenue $37.4B, EBITDA $7.7B (+11%), 38 acquisitions ($4.1B), Eco Material Technologies ($2.1B) — CRH.com, February 2026</w:t>
      </w:r>
    </w:p>
    <w:p>
      <w:pPr>
        <w:spacing w:before="20" w:after="20"/>
        <w:ind w:left="170"/>
      </w:pPr>
      <w:r>
        <w:rPr>
          <w:rFonts w:ascii="Calibri" w:hAnsi="Calibri"/>
          <w:b/>
          <w:color w:val="4A6B25"/>
          <w:sz w:val="15"/>
        </w:rPr>
        <w:t xml:space="preserve">5. </w:t>
      </w:r>
      <w:r>
        <w:rPr>
          <w:rFonts w:ascii="Calibri" w:hAnsi="Calibri"/>
          <w:b w:val="0"/>
          <w:color w:val="3A4A28"/>
          <w:sz w:val="17"/>
        </w:rPr>
        <w:t>CRH Corporate Strategy and Sustainability — 2030 targets (7-9% revenue growth, 22-24% EBITDA margin), Sustainability Framework (Water, Circularity, Decarbonization), DJSI/MSCI/FTSE4Good constituent — CRH.com, CSRHub, ClimateAction100+, 2024-2026</w:t>
      </w:r>
    </w:p>
    <w:p>
      <w:pPr>
        <w:spacing w:before="20" w:after="20"/>
        <w:ind w:left="170"/>
      </w:pPr>
      <w:r>
        <w:rPr>
          <w:rFonts w:ascii="Calibri" w:hAnsi="Calibri"/>
          <w:b/>
          <w:color w:val="4A6B25"/>
          <w:sz w:val="15"/>
        </w:rPr>
        <w:t xml:space="preserve">6. </w:t>
      </w:r>
      <w:r>
        <w:rPr>
          <w:rFonts w:ascii="Calibri" w:hAnsi="Calibri"/>
          <w:b w:val="0"/>
          <w:color w:val="3A4A28"/>
          <w:sz w:val="17"/>
        </w:rPr>
        <w:t>CRH People Development — Management Essentials Program (2,800 leaders), Educational Partnerships (4,070 interactions), Community Programs — CRH Sustainability Report, 2025-2026</w:t>
      </w:r>
    </w:p>
    <w:p>
      <w:pPr>
        <w:spacing w:before="20" w:after="20"/>
        <w:ind w:left="170"/>
      </w:pPr>
      <w:r>
        <w:rPr>
          <w:rFonts w:ascii="Calibri" w:hAnsi="Calibri"/>
          <w:b/>
          <w:color w:val="4A6B25"/>
          <w:sz w:val="15"/>
        </w:rPr>
        <w:t xml:space="preserve">7. </w:t>
      </w:r>
      <w:r>
        <w:rPr>
          <w:rFonts w:ascii="Calibri" w:hAnsi="Calibri"/>
          <w:b w:val="0"/>
          <w:color w:val="3A4A28"/>
          <w:sz w:val="17"/>
        </w:rPr>
        <w:t>CRH Insider Transactions — Director Talbot purchase 2,000 shares March 2026, mixed insider activity — GuruFocus, Yahoo Finance, 2026</w:t>
      </w:r>
    </w:p>
    <w:p>
      <w:pPr>
        <w:spacing w:before="20" w:after="20"/>
        <w:ind w:left="170"/>
      </w:pPr>
      <w:r>
        <w:rPr>
          <w:rFonts w:ascii="Calibri" w:hAnsi="Calibri"/>
          <w:b/>
          <w:color w:val="4A6B25"/>
          <w:sz w:val="15"/>
        </w:rPr>
        <w:t xml:space="preserve">8. </w:t>
      </w:r>
      <w:r>
        <w:rPr>
          <w:rFonts w:ascii="Calibri" w:hAnsi="Calibri"/>
          <w:b w:val="0"/>
          <w:color w:val="3A4A28"/>
          <w:sz w:val="17"/>
        </w:rPr>
        <w:t>Yahoo Finance, StockAnalysis, Nasdaq — CRH Key Statistics: Stock Price $95.42, Forward P/E 16.0x, P/E 16.80x, PEG 1.88, ROE 15.81%, D/E 77.59%, Profit Margin 9.94%, Avg Volume 4.56M,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