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CRML</w:t>
      </w:r>
      <w:r>
        <w:rPr>
          <w:rFonts w:ascii="Calibri" w:hAnsi="Calibri"/>
          <w:b/>
          <w:color w:val="1A2010"/>
          <w:sz w:val="40"/>
        </w:rPr>
        <w:t xml:space="preserve">  Critical Metals Corp.</w:t>
      </w:r>
    </w:p>
    <w:p>
      <w:pPr>
        <w:spacing w:after="120"/>
      </w:pPr>
      <w:r>
        <w:rPr>
          <w:rFonts w:ascii="Calibri" w:hAnsi="Calibri"/>
          <w:b/>
          <w:color w:val="6E8450"/>
          <w:sz w:val="18"/>
        </w:rPr>
        <w:t>GROWTH SLEEVE · 2026-10-05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NMS · United States</w:t>
      </w:r>
    </w:p>
    <w:p>
      <w:pPr>
        <w:spacing w:after="80"/>
      </w:pPr>
      <w:r>
        <w:rPr>
          <w:rFonts w:ascii="Calibri" w:hAnsi="Calibri"/>
          <w:b w:val="0"/>
          <w:color w:val="3A4A28"/>
          <w:sz w:val="20"/>
        </w:rPr>
        <w:t>Critical Metals Corp. is a mining exploration and development company focused on rare earth elements and lithium in Southern Greenland and Austria. The company controls 92.5% of Tanbreez Mining Greenland A/S (one of the world's largest heavy rare earth deposits) after Greenland government approval in April 2026. It also holds the Wolfsberg Lithium Project in Austria (first fully permitted lithium mine in Europe). FY2026 revenue was $1.89M (up 237% YoY from a $561K base), with a net loss of $228.2M as the company remains in pre-production development stage with auditors raising going-concern doubts.</w:t>
      </w:r>
    </w:p>
    <w:p>
      <w:r>
        <w:rPr>
          <w:rFonts w:ascii="Calibri" w:hAnsi="Calibri"/>
          <w:b/>
          <w:color w:val="6E8450"/>
          <w:sz w:val="18"/>
        </w:rPr>
        <w:t>4 Employees · https://www.criticalmetalscorp.com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Critical Metals consolidated 92.5% ownership of Tanbreez after Greenland government approval in April 2026, secured a U.S. EXIM Bank letter of interest for up to $120M (the first overseas mining investment of its kind under the current administration), launched a 10,000-meter diamond drilling campaign, and obtained environmental approvals from Greenland's EAMRA regulator [1]. These represent significant strategic milestones for a development-stage company. AI Deployment (0/2): No evidence of AI-powered products or AI-driven operational efficiencies at this pre-production exploration company. Market Share (1/2): CRML has secured offtake commitments covering 25% of near-term Tanbreez production — 10% to Ucore Rare Metals (DoD-backed) and 15% to REalloys for domestic magnet manufacturing — establishing concrete commercial positioning in Western rare earth supply chains ahead of production [1]. However, the company is pre-production with zero current market share. Product Pipeline (1/2): Tanbreez pilot plant targets first customer supply by 2029, Wolfsberg Lithium represents the first permitted EU lithium mine, and a Romanian Mine-to-Magnet JV provides downstream integration visibility — but timelines are 3+ years out and unproven [1]. R&amp;D Intensity (1/1): Acquisition of an integrated rare earth assay analysis lab to accelerate the 2026 drilling campaign demonstrates above-average technical investment for a 4-employee exploration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Critical Metals' mission of building a secure Western-hemisphere supply chain for critical minerals essential to defense, clean energy, and advanced technology is clear and topical, backed by concrete government validation (EXIM financing LOI, DoD-linked offtake), though the company is only two years public and the mission remains unproven by sustained execution [1]. Community Impact (1/2): The company commits to hydro-electric-powered, low-carbon processing at Tanbreez and employment of trained Greenlandic personnel at its new assay lab, showing genuine community engagement intent in a remote Arctic region. The Wolfsberg project's EU permitting demonstrates environmental compliance. Employee Retention (0/2): With only 4 full-time employees and recently assembled executive team (CEO Danilo Lange permanently appointed in 2026, CFO Savchenko, CTO Karageorge all new), retention is not meaningfully assessable [2]. Insider Buying (0/2): A director sold ~$402,750 of shares in March 2026, and the company raised $60M via dilutive private placement at $10/share — a pattern of net insider selling and shareholder dilution with no offsetting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1.8% is exceptionally clean (score 1.0), reflecting minimal debt for a development-stage company. Revenue growth YoY of 558% scores 1.0, though from a trivial $561K base to $1.89M — effectively pre-revenue [1]. ROE of -99.2% (score 0.0, 2x weight) reflects the $228.2M net loss consuming nearly all equity. Profit margin of 0% (score 0.0) and negative forward P/E of -38.2 (score 0.0) confirm a company far from profitability. Revenue growth 5yr CAGR and PEG ratio excluded as unavailable. Weighted sum: 2.0 / max 6.0 = infrastructure score 3. Daily dollar volume of $56.4M passes the liquidity floor comfortably.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Critical Metals remains too early-stage for most Infinite Game dimensions to be fully tested, though 2026 brought real external validation — Greenland government approval, EXIM Bank interest, and DoD-linked offtake all connect to the Western supply chain cause [1]. However, the company is fundamentally playing to survive to production (targeted 2029) under newly appointed CEO Danilo Lange, with a $228M annual net loss, dilutive capital raises, and insider selling tempering the picture. This is a survival-to-production story, not yet an infinite game.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cause of securing a Western-hemisphere critical minerals supply chain independent of China is genuine and now partially validated by external actors — Greenland government approval of full Tanbreez control, U.S. EXIM Bank $120M LOI, and DoD-linked offtake agreements all connect directly to this stated purpose [1]. However, the company has been public only since February 2024 and has not been tested through a crisis or multi-year execution cycle, stopping short of the top tier.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4 full-time employees and an almost entirely new executive team (CEO Danilo Lange permanently appointed in 2026 after serving as interim since December 2025, plus new CFO, CTO, General Counsel, and Tanbreez subsidiary CEO all recently named), there is no multi-year organizational trust track record to evaluate [2]. Director-level insider selling alongside dilutive raises adds instability signals.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Management's public framing centers on displacing Chinese dominance in rare earth and hafnium supply — a geopolitical positioning narrative emphasizing supply chain independence rather than competitive self-improvement or learning from rivals' strengths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remains in its first strategic configuration — acquiring and developing mineral assets toward first production — and has not faced a test requiring it to abandon a working model. A strategic review of non-core assets to concentrate on Tanbreez narrows focus rather than representing a transformative pivot. The company is too young for this dimension to be meaningfully applicable.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launched a strategic review to sell or partner non-core assets to concentrate capital on the flagship Tanbreez project, prioritizing long-term focus over near-term optionality. Development of rare earth projects in challenging Arctic and DRC jurisdictions, with geological and permitting risk, represents a genuine long-term bet. However, the company's dominant recent moves ($60M dilutive raise, continued $228M annual cash burn) reflect capital-raising necessity as much as principled sacrifice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Critical Metals at $7.25 with a $1.06B market cap now controls 92.5% of Tanbreez, one of the world's largest heavy rare earth deposits, and has converted geopolitical relevance into concrete commercial wins: U.S. EXIM Bank $120M financing LOI (first overseas mining investment of its kind), offtake commitments covering 25% of near-term production split between DoD-backed Ucore Rare Metals and magnet maker REalloys, and key Greenland environmental approvals [1]. FY2026 revenue grew 237% to $1.89M as exploration activity ramped, and a 10,000-meter drilling campaign continues to de-risk the resource. The Wolfsberg Lithium Project in Austria (first fully permitted EU lithium mine) and Romanian Mine-to-Magnet JV provide additional development optionality. Heavy rare earths and hafnium are structurally linked to AI data center, semiconductor, and grid infrastructure buildout, positioning CRML to benefit from accelerating demand.</w:t>
      </w:r>
    </w:p>
    <w:p>
      <w:pPr>
        <w:spacing w:after="120"/>
      </w:pPr>
      <w:r>
        <w:rPr>
          <w:rFonts w:ascii="Calibri" w:hAnsi="Calibri"/>
          <w:b w:val="0"/>
          <w:color w:val="3A4A28"/>
          <w:sz w:val="20"/>
        </w:rPr>
        <w:t>The bear case is severe. CRML remains essentially pre-revenue ($1.89M against a $1.06B market cap) with a staggering $228.2M annual net loss in FY2026 (up 340% from prior year), ROE of -99.2%, and auditors raising going-concern doubts [1]. First customer supply is not targeted until 2029, meaning the company must fund 3+ years of additional development through dilutive capital raises — the April 2026 $60M private placement at $10/share is already underwater at $7.25. CEO Danilo Lange was only permanently appointed in 2026 after Tony Sage's departure, adding leadership transition risk during a critical development phase [2]. Mining projects routinely face cost overruns, geological surprises, and permitting delays, Greenland's political status remains a wildcard amid ongoing U.S. interest in the territory, and rare earth prices are volatile and subject to Chinese market manipulation. Net insider selling with no offsetting purchases signals limited insider conviction at the current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the EXIM Bank $120M LOI into a definitive financing commitment, materially de-risking the capital plan to reach 2029 first production and reducing dilution pressure [1]</w:t>
      </w:r>
    </w:p>
    <w:p>
      <w:pPr>
        <w:spacing w:before="40" w:after="40"/>
        <w:ind w:left="283"/>
      </w:pPr>
      <w:r>
        <w:rPr>
          <w:rFonts w:ascii="Calibri" w:hAnsi="Calibri"/>
          <w:b/>
          <w:color w:val="4A6B25"/>
          <w:sz w:val="20"/>
        </w:rPr>
        <w:t xml:space="preserve">2. </w:t>
      </w:r>
      <w:r>
        <w:rPr>
          <w:rFonts w:ascii="Calibri" w:hAnsi="Calibri"/>
          <w:b w:val="0"/>
          <w:color w:val="3A4A28"/>
          <w:sz w:val="20"/>
        </w:rPr>
        <w:t>Positive drilling results from the 2026 10,000-meter campaign confirming heavy rare earth grades sufficient for commercial mine planning, which would validate the resource estimate underpinning the $1B+ market cap</w:t>
      </w:r>
    </w:p>
    <w:p>
      <w:pPr>
        <w:spacing w:before="40" w:after="40"/>
        <w:ind w:left="283"/>
      </w:pPr>
      <w:r>
        <w:rPr>
          <w:rFonts w:ascii="Calibri" w:hAnsi="Calibri"/>
          <w:b/>
          <w:color w:val="4A6B25"/>
          <w:sz w:val="20"/>
        </w:rPr>
        <w:t xml:space="preserve">3. </w:t>
      </w:r>
      <w:r>
        <w:rPr>
          <w:rFonts w:ascii="Calibri" w:hAnsi="Calibri"/>
          <w:b w:val="0"/>
          <w:color w:val="3A4A28"/>
          <w:sz w:val="20"/>
        </w:rPr>
        <w:t>Expansion of offtake commitments beyond 25% of near-term production, or additional U.S./EU government support recognizing Tanbreez as a strategically significant non-China critical mineral supply source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dilutive capital raises required to fund $228M+ annual cash burn toward a 2029 production target 3+ years away, eroding per-share value before any meaningful revenue materializes [1]</w:t>
      </w:r>
    </w:p>
    <w:p>
      <w:pPr>
        <w:spacing w:before="40" w:after="40"/>
        <w:ind w:left="283"/>
      </w:pPr>
      <w:r>
        <w:rPr>
          <w:rFonts w:ascii="Calibri" w:hAnsi="Calibri"/>
          <w:b/>
          <w:color w:val="4A6B25"/>
          <w:sz w:val="20"/>
        </w:rPr>
        <w:t xml:space="preserve">2. </w:t>
      </w:r>
      <w:r>
        <w:rPr>
          <w:rFonts w:ascii="Calibri" w:hAnsi="Calibri"/>
          <w:b w:val="0"/>
          <w:color w:val="3A4A28"/>
          <w:sz w:val="20"/>
        </w:rPr>
        <w:t>Geological, permitting, or Greenland political risk delaying first production beyond 2029 — mining development projects routinely face cost overruns and multi-year delays, and Greenland's evolving status amid U.S. strategic interest adds a geopolitical wildcard</w:t>
      </w:r>
    </w:p>
    <w:p>
      <w:pPr>
        <w:spacing w:before="40" w:after="40"/>
        <w:ind w:left="283"/>
      </w:pPr>
      <w:r>
        <w:rPr>
          <w:rFonts w:ascii="Calibri" w:hAnsi="Calibri"/>
          <w:b/>
          <w:color w:val="4A6B25"/>
          <w:sz w:val="20"/>
        </w:rPr>
        <w:t xml:space="preserve">3. </w:t>
      </w:r>
      <w:r>
        <w:rPr>
          <w:rFonts w:ascii="Calibri" w:hAnsi="Calibri"/>
          <w:b w:val="0"/>
          <w:color w:val="3A4A28"/>
          <w:sz w:val="20"/>
        </w:rPr>
        <w:t>Going-concern doubt raised by auditors, ROE of -99.2%, and net insider selling signal fundamental execution and financial distress risk at a $1.06B market cap for a company generating $1.89M in annual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Critical Metals' core business — physical extraction and processing of rare earth elements and lithium from Greenland and Austrian deposits — is structurally immune to AI substitution; no software can mine ore from Arctic bedrock [1]. AI is a demand driver rather than a threat: heavy rare earth magnets, hafnium (a Tanbreez byproduct), and lithium are essential inputs for AI data center infrastructure, semiconductor manufacturing, EV motors, and grid buildout. Geopolitical urgency around non-China critical mineral supply chains, reinforced by the DoD-backed Ucore offtake and EXIM Bank financing interest, further insulates the business model from technological disruption. The physical, geological, and regulatory barriers to mining create structural moats that no AI advancement can circumvent. AI Opportunity (0/1): While analysts frame CRML as AI-infrastructure-adjacent (rare earths and hafnium are essential for AI hardware), the company generates only $1.89M in total revenue and none of it derives from AI-related products or services — the AI demand thesis is forward-looking optionality, not current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Critical Metals FY2026 Annual Report (20-F) — $1.89M Revenue (+237%), $228.2M Net Loss, Tanbreez 92.5% Ownership, EXIM Bank $120M LOI, EAMRA Environmental Approvals — SEC filings, StockAnalysis.com, PitchBook, 2026</w:t>
      </w:r>
    </w:p>
    <w:p>
      <w:pPr>
        <w:spacing w:before="20" w:after="20"/>
        <w:ind w:left="170"/>
      </w:pPr>
      <w:r>
        <w:rPr>
          <w:rFonts w:ascii="Calibri" w:hAnsi="Calibri"/>
          <w:b/>
          <w:color w:val="4A6B25"/>
          <w:sz w:val="15"/>
        </w:rPr>
        <w:t xml:space="preserve">2. </w:t>
      </w:r>
      <w:r>
        <w:rPr>
          <w:rFonts w:ascii="Calibri" w:hAnsi="Calibri"/>
          <w:b w:val="0"/>
          <w:color w:val="3A4A28"/>
          <w:sz w:val="17"/>
        </w:rPr>
        <w:t>Critical Metals Leadership Changes — CEO Danilo Lange Permanently Appointed, New Executive Team (CFO Savchenko, CTO Karageorge, GC Thomas), Tanbreez CEO Mogensen — NASDAQ, Investing.com,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