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7232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723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rFonts w:ascii="Calibri" w:hAnsi="Calibri"/>
          <w:b/>
          <w:color w:val="4A6B25"/>
          <w:sz w:val="56"/>
        </w:rPr>
        <w:t>CRSP</w:t>
      </w:r>
      <w:r>
        <w:rPr>
          <w:rFonts w:ascii="Calibri" w:hAnsi="Calibri"/>
          <w:b/>
          <w:color w:val="1A2010"/>
          <w:sz w:val="40"/>
        </w:rPr>
        <w:t xml:space="preserve">  CRISPR Therapeutics AG</w:t>
      </w:r>
    </w:p>
    <w:p>
      <w:pPr>
        <w:spacing w:after="120"/>
      </w:pPr>
      <w:r>
        <w:rPr>
          <w:rFonts w:ascii="Calibri" w:hAnsi="Calibri"/>
          <w:b/>
          <w:color w:val="6E8450"/>
          <w:sz w:val="18"/>
        </w:rPr>
        <w:t>GROWTH SLEEVE · 2026-09-11 · Inspire: 54 · MIXED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1200" w:type="dxa"/>
      </w:tblPr>
      <w:tblGrid>
        <w:gridCol w:w="10800"/>
      </w:tblGrid>
      <w:tr>
        <w:tc>
          <w:tcPr>
            <w:tcW w:type="dxa" w:w="10800"/>
            <w:shd w:fill="FFF8E1" w:val="clea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D97706"/>
                <w:sz w:val="20"/>
              </w:rPr>
              <w:t>HOLD</w:t>
            </w:r>
          </w:p>
        </w:tc>
      </w:tr>
    </w:tbl>
    <w:p>
      <w:pPr>
        <w:spacing w:before="120" w:after="200"/>
      </w:pPr>
      <w:r>
        <w:rPr>
          <w:rFonts w:ascii="Calibri" w:hAnsi="Calibri"/>
          <w:b/>
          <w:color w:val="1A2010"/>
          <w:sz w:val="80"/>
        </w:rPr>
        <w:t>63</w:t>
      </w:r>
      <w:r>
        <w:rPr>
          <w:rFonts w:ascii="Calibri" w:hAnsi="Calibri"/>
          <w:b w:val="0"/>
          <w:color w:val="9DAF88"/>
          <w:sz w:val="28"/>
        </w:rPr>
        <w:t xml:space="preserve"> / </w:t>
      </w:r>
      <w:r>
        <w:rPr>
          <w:rFonts w:ascii="Calibri" w:hAnsi="Calibri"/>
          <w:b w:val="0"/>
          <w:color w:val="9DAF88"/>
          <w:sz w:val="24"/>
        </w:rPr>
        <w:t>100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COMPANY PROFILE</w:t>
            </w:r>
          </w:p>
        </w:tc>
      </w:tr>
    </w:tbl>
    <w:p>
      <w:r>
        <w:rPr>
          <w:rFonts w:ascii="Calibri" w:hAnsi="Calibri"/>
          <w:b/>
          <w:color w:val="6E8450"/>
          <w:sz w:val="18"/>
        </w:rPr>
        <w:t>Healthcare · Biotechnology · NASDAQ · Switzerland</w:t>
      </w:r>
    </w:p>
    <w:p>
      <w:pPr>
        <w:spacing w:after="80"/>
      </w:pPr>
      <w:r>
        <w:rPr>
          <w:rFonts w:ascii="Calibri" w:hAnsi="Calibri"/>
          <w:b w:val="0"/>
          <w:color w:val="3A4A28"/>
          <w:sz w:val="20"/>
        </w:rPr>
        <w:t>CRISPR Therapeutics AG is a gene-editing biotechnology company developing CRISPR/Cas9-based medicines for serious diseases. Its lead product, CASGEVY (developed with partner Vertex Pharmaceuticals), is the world's first approved CRISPR-based therapy, treating sickle cell disease and transfusion-dependent beta thalassemia; the FDA expanded its label to children as young as 2 in 2026, opening access to roughly 5,500 additional patients [1]. CASGEVY revenue reached $76M in Q2 2026 (+151% YoY, +78% QoQ) with over 500 patients initiated and reimbursement secured in Germany, plus regulatory submissions advancing in Saudi Arabia and the UK [1]. The pipeline spans oncology (allogeneic CAR-T), cardiovascular disease (in vivo liver-editing candidates CTX310, CTX340, CTX460), autoimmune conditions, and regenerative medicine (CTX213 for Type 1 diabetes). Founded in 2013, headquartered in Zug, Switzerland, with primary R&amp;D operations in Boston, Massachusetts, under CEO and Chairman Dr. Samarth Kulkarni.</w:t>
      </w:r>
    </w:p>
    <w:p>
      <w:r>
        <w:rPr>
          <w:rFonts w:ascii="Calibri" w:hAnsi="Calibri"/>
          <w:b/>
          <w:color w:val="6E8450"/>
          <w:sz w:val="18"/>
        </w:rPr>
        <w:t>450 Employees · https://www.crisprtx.com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EXCELLENCE EVALUATION — THINK LIKE AN OWNER (50%)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Innovation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16A34A"/>
          <w:sz w:val="16"/>
        </w:rPr>
        <w:t xml:space="preserve"> STRONG 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8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4409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102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Track Record (3/3): CRISPR Therapeutics delivered the world's first approved CRISPR-based medicine (CASGEVY) and continues to expand it in 2026 — FDA approval in children as young as 2 (reviewed in just 53 days), German reimbursement, and Saudi/UK regulatory submissions — a transformative, category-defining achievement rather than an incremental refresh [1]. AI Deployment (0/2): No AI-related drug discovery or platform initiatives were disclosed in the Q2 2026 business update; CRISPR's innovation narrative is centered on gene-editing modality expansion, not AI [1]. Market Share (2/2): CASGEVY is the first-mover and category leader in commercial gene-editing therapy, with quantified momentum — $76M Q2 2026 revenue (+151% YoY, +78% QoQ), 500+ patients initiated, and approval now in 39 countries [1]. Product Pipeline (2/2): Specific, dated next-generation programs include CTX340 (angiotensinogen, refractory hypertension) and CTX460 (SyNTase platform, alpha-1 antitrypsin deficiency), both initiating Phase 1 in 2026, CTX310 (ANGPTL3) Phase 1b with data expected by year-end 2026, and CTX213 (Type 1 diabetes regenerative medicine) advancing toward the clinic [1]. R&amp;D Intensity (1/1): Q2 2026 R&amp;D spend of $67.2M against GAAP revenue of roughly $10.2M reflects R&amp;D investment intensity well above typical industry norms, consistent with a company prioritizing a broad multi-modality pipeline (in vivo editing, CAR-T, regenerative medicine) over near-term profitability [1][4].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Inspiration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DEVELOPING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4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205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307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Mission Floor (3/4): CRISPR Therapeutics' mission to translate CRISPR/Cas9 gene-editing technology into transformative, potentially curative medicines for serious diseases is specific and thoughtful, and has been directly validated by execution — delivering the world's first approved CRISPR cure and now extending it to a pediatric population [1]. It falls short of the 'decades of consistent execution' bar for a 4/4 given the company was only founded in 2013 and has not been tested across multiple market cycles or leadership transitions. Community Impact (0/2): No specific charitable foundation, patient-assistance program, or community investment initiative with quantified dollar amounts was identified in available coverage. Employee Retention (0/2): No tenure or turnover data is publicly available for the 450-person workforce. Insider Buying (1/2): Coverage of the 2026 capital raise notes that 'corporate insiders, including the CMO, increased share purchases,' but no specific dollar amounts were disclosed, placing this at a neutral/minimal level rather than clearly meaningful [3].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Infrastructure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Mechanically scored on available metrics (growth-stock weighting; no dividend). Liquidity passes comfortably ($52.26 price x ~1.45M average daily volume ≈ $75.9M &gt;&gt; $1M floor) [4]. D/E of 45% scores at the 1.0 cap (well inside the 70% target) [4]. However, ROE of -26.09% floors at 0 (2x weight) and profit margin is deeply negative (TTM net loss of $451.14M against $13.39M of GAAP revenue) and floors at 0, reflecting that CASGEVY's $76M+ quarterly product revenue flows primarily through the Vertex collaboration rather than CRISPR's own income statement, while R&amp;D spend remains heavy [1][4]. Revenue growth YoY, 5yr CAGR, forward P/E, and forward PEG were excluded as not meaningful or unavailable given collaboration-revenue accounting and the absence of positive earnings.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FINITE VS INFINITE GAME — SINEK (25%)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Mindset: </w:t>
      </w:r>
      <w:r>
        <w:rPr>
          <w:rFonts w:ascii="Calibri" w:hAnsi="Calibri"/>
          <w:b/>
          <w:color w:val="B8860B"/>
          <w:sz w:val="22"/>
        </w:rPr>
        <w:t>MIXED</w:t>
      </w:r>
      <w:r>
        <w:rPr>
          <w:rFonts w:ascii="Calibri" w:hAnsi="Calibri"/>
          <w:b w:val="0"/>
          <w:color w:val="6E8450"/>
          <w:sz w:val="22"/>
        </w:rPr>
        <w:t xml:space="preserve">      Overall: </w:t>
      </w:r>
      <w:r>
        <w:rPr>
          <w:rFonts w:ascii="Calibri" w:hAnsi="Calibri"/>
          <w:b/>
          <w:color w:val="16A34A"/>
          <w:sz w:val="28"/>
        </w:rPr>
        <w:t>7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p>
      <w:pPr>
        <w:spacing w:after="120"/>
      </w:pPr>
      <w:r>
        <w:rPr>
          <w:rFonts w:ascii="Calibri" w:hAnsi="Calibri"/>
          <w:b w:val="0"/>
          <w:color w:val="3A4A28"/>
          <w:sz w:val="18"/>
        </w:rPr>
        <w:t>CRISPR Therapeutics displays strong infinite-game characteristics for a company of its age — a validated, service-oriented Just Cause (curing serious genetic diseases) delivered through the world's first approved CRISPR therapy, a CEO who explicitly builds psychological safety around scientific failure, and sustained heavy R&amp;D investment across a diversified pipeline despite continued net losses. It falls short of INFINITE status because the company is only 13 years old and has not yet been tested through a full market cycle, crisis, or leadership transition.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Just Cause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7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858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654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Just Cause (2/3): CRISPR Therapeutics' mission to cure serious genetic diseases through gene editing is genuine and partially lived — strategic decisions like expanding CASGEVY to pediatric patients and diversifying into cardiovascular, autoimmune, and regenerative medicine trace directly back to the cause — but as a company founded in 2013, it has not yet been tested across a full market cycle or leadership crisis [1].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Trusting Teams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10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5512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0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Trusting Teams (2/2): CEO Samarth Kulkarni has explicitly articulated a Circle-of-Safety philosophy for a high-failure-rate R&amp;D environment: 'In a world where 80% of what you do fails, you have to create an environment where you're celebrating the failure' — direct evidence of leadership intentionally building psychological safety around risk-taking and failure [2].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Worthy Rivals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Worthy Rivals (0/1): No evidence was found of CRISPR Therapeutics management publicly framing competitors (e.g., Intellia, Beam Therapeutics) as worthy rivals or acknowledging their strengths as motivation for self-improvement in available 2026 coverage [1][2].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Existential Flexibility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Existential Flexibility (1/2): The company has expanded meaningfully beyond its original ex vivo hemoglobinopathy focus into in vivo liver editing, allogeneic CAR-T oncology, and regenerative medicine for Type 1 diabetes — real modality and therapeutic-area diversification — though CASGEVY and the core gene-editing platform remain central rather than being abandoned, short of a fully transformative pivot [1].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Courage To Lead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10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5512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0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Courage to Lead (2/2): Leadership has sustained heavy R&amp;D investment ($67.2M in Q2 2026 alone) and raised $585.4M and $600M in additional capital to fund a broad, diversified pipeline rather than narrowing focus to protect near-term losses, and Kulkarni's explicit philosophy of 'celebrating failure' in an 80%-failure-rate R&amp;D environment reflects a leader willing to absorb the cost of risk-taking in service of long-term breakthrough medicine [1][2].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INVESTMENT THESIS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CRISPR Therapeutics continues to validate its position as the world's first commercial CRISPR gene-editing company, with CASGEVY revenue reaching $76M in Q2 2026 (+151% YoY, +78% QoQ), over 500 patients initiated, and a landmark FDA approval extending the therapy to children as young as 2 — reviewed in just 53 days and opening access to roughly 5,500 additional patients — alongside German reimbursement and advancing Saudi/UK submissions [1]. The company holds $2.364B in cash after raising $585.4M and $600M via convertible notes in 2026, funding a genuinely diversified next-generation pipeline: in vivo liver-editing programs CTX340 (hypertension) and CTX460 (alpha-1 antitrypsin deficiency) both entering Phase 1, CTX310 (ANGPTL3) Phase 1b data expected by year-end, and CTX213 for Type 1 diabetes advancing toward the clinic [1]. CEO Samarth Kulkarni's explicit philosophy of building psychological safety around the 80% failure rate inherent to breakthrough R&amp;D, combined with a validated, service-oriented Just Cause (curing serious genetic disease), positions the company well on both innovation and culture dimensions relative to biotech peers.</w:t>
      </w:r>
    </w:p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The bear case centers on financial mechanics: CRISPR Therapeutics posted a GAAP net loss of $451.14M on just $13.39M of TTM revenue (Casgevy's much larger product revenue flows primarily through the Vertex collaboration rather than CRISPR's own income statement), producing a -26.09% ROE and forcing continued reliance on capital markets ($1.2B+ raised via convertible notes in 2026 alone) to fund the broad pipeline [1][4]. D/E of 45% and ample liquidity are genuine strengths, but with no forward P/E or PEG computable given negative earnings, the investment case rests entirely on binary clinical and commercial execution across multiple unproven in vivo programs rather than current financial durability. No AI-related drug discovery initiatives were disclosed, meaning CRISPR does not yet benefit from the AI-driven R&amp;D productivity gains some biotech peers are beginning to tout, and no evidence of community investment or employee retention data limits full confidence in the Inspiration dimension despite a strong mission.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CATALYSTS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Continued CASGEVY revenue ramp following pediatric label expansion (ages 2+) opening access to ~5,500 additional patients, plus pending Saudi Arabia and UK regulatory decisions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CTX310 (ANGPTL3) Phase 1b clinical data expected by year-end 2026, a key read-through for the broader in vivo cardiovascular editing platform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Initiation and early data from Phase 1 trials of CTX340 (hypertension) and CTX460 (alpha-1 antitrypsin deficiency), testing the SyNTase platform's next-generation in vivo editing approach [1]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DC2626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RISKS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Heavy and continuing cash burn (-$451.14M TTM net loss) requires ongoing capital markets access; further convertible note or equity raises could dilute shareholders if clinical timelines slip [1][4]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GAAP revenue recognition under the Vertex collaboration structure ($13.39M TTM) is disconnected from CASGEVY's underlying commercial momentum ($76M quarterly product revenue), making standard financial ratios (P/E, PEG, margin) unusually difficult to interpret and largely unfavorable on a GAAP basis [1][4]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The broad, diversified pipeline (in vivo editing, CAR-T, regenerative medicine) concentrates significant binary clinical trial risk across multiple unproven modalities simultaneously, any of which could fail given the industry's inherent high failure rate [1][2]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AI RESILIENCE (25%)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AI Resilience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16A34A"/>
          <w:sz w:val="16"/>
        </w:rPr>
        <w:t xml:space="preserve"> LOW RISK 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8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4409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102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AI Risk Protection (8/9): CRISPR Therapeutics' core business — FDA-regulated gene-editing drug development, clinical manufacturing, and cell/gene therapy delivery — cannot be substituted by AI; the work requires physical biological engineering, regulatory approval, and clinical execution that software cannot replace [1]. No analyst commentary was found suggesting AI threatens the company's business model; if anything, AI-assisted target discovery is a tool the broader gene-editing industry is adopting to accelerate, not disrupt, pipeline development. AI Opportunity (0/1): The Q2 2026 business update contained no AI-related drug discovery initiatives or quantified AI-linked revenue, so no tiebreaker point is awarded [1].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FAITH ALIGNMENT — INSPIRE INSIGHT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Inspire Impact Score:  </w:t>
      </w:r>
      <w:r>
        <w:rPr>
          <w:rFonts w:ascii="Calibri" w:hAnsi="Calibri"/>
          <w:b/>
          <w:color w:val="16A34A"/>
          <w:sz w:val="28"/>
        </w:rPr>
        <w:t>54</w:t>
      </w:r>
      <w:r>
        <w:rPr>
          <w:rFonts w:ascii="Calibri" w:hAnsi="Calibri"/>
          <w:b/>
          <w:color w:val="B8860B"/>
          <w:sz w:val="20"/>
        </w:rPr>
        <w:t xml:space="preserve">    ALIGNED</w:t>
      </w:r>
    </w:p>
    <w:p>
      <w:pPr>
        <w:spacing w:before="80" w:after="40"/>
      </w:pPr>
      <w:r>
        <w:rPr>
          <w:rFonts w:ascii="Calibri" w:hAnsi="Calibri"/>
          <w:b/>
          <w:color w:val="6E8450"/>
          <w:sz w:val="18"/>
        </w:rPr>
        <w:t xml:space="preserve">Positive: </w:t>
      </w:r>
      <w:r>
        <w:rPr>
          <w:rFonts w:ascii="Calibri" w:hAnsi="Calibri"/>
          <w:b/>
          <w:color w:val="16A34A"/>
          <w:sz w:val="17"/>
        </w:rPr>
        <w:t xml:space="preserve"> Air Quality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Business Ethics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Customer Welfare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Employee Wellbeing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Energy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Environmental Risk Mitigation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Ethical Sales Practices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Ethical Supply Chain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Fair Competition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GHG Emissions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Hiring Ethics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Materials Efficiency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Access and Affordability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Safety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Sustainability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Regulatory Adherence </w:t>
      </w:r>
    </w:p>
    <w:p>
      <w:pPr>
        <w:spacing w:before="120"/>
      </w:pPr>
      <w:r>
        <w:rPr>
          <w:rFonts w:ascii="Calibri" w:hAnsi="Calibri"/>
          <w:b w:val="0"/>
          <w:color w:val="9DAF88"/>
          <w:sz w:val="15"/>
        </w:rPr>
        <w:t>Source: Inspire Insight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RESOURCES</w:t>
            </w:r>
          </w:p>
        </w:tc>
      </w:tr>
    </w:tbl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1. </w:t>
      </w:r>
      <w:r>
        <w:rPr>
          <w:rFonts w:ascii="Calibri" w:hAnsi="Calibri"/>
          <w:b w:val="0"/>
          <w:color w:val="3A4A28"/>
          <w:sz w:val="17"/>
        </w:rPr>
        <w:t>CRISPR Therapeutics Q1 and Q2 2026 Business Updates and Financial Results — BioSpace, GlobeNewswire, StockTitan, SEC 8-K filings,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2. </w:t>
      </w:r>
      <w:r>
        <w:rPr>
          <w:rFonts w:ascii="Calibri" w:hAnsi="Calibri"/>
          <w:b w:val="0"/>
          <w:color w:val="3A4A28"/>
          <w:sz w:val="17"/>
        </w:rPr>
        <w:t>CEO Samarth Kulkarni Leadership Philosophy and Biography — crisprtx.com, STAT News interview, Aspen Ideas,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3. </w:t>
      </w:r>
      <w:r>
        <w:rPr>
          <w:rFonts w:ascii="Calibri" w:hAnsi="Calibri"/>
          <w:b w:val="0"/>
          <w:color w:val="3A4A28"/>
          <w:sz w:val="17"/>
        </w:rPr>
        <w:t>CRISPR Therapeutics Capital Raise and Insider Purchase Activity — Simply Wall St News,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4. </w:t>
      </w:r>
      <w:r>
        <w:rPr>
          <w:rFonts w:ascii="Calibri" w:hAnsi="Calibri"/>
          <w:b w:val="0"/>
          <w:color w:val="3A4A28"/>
          <w:sz w:val="17"/>
        </w:rPr>
        <w:t>stockanalysis.com — CRSP Key Statistics and Financial Health, accessed September 2026</w:t>
      </w:r>
    </w:p>
    <w:p>
      <w:pPr>
        <w:spacing w:before="400"/>
        <w:jc w:val="center"/>
      </w:pPr>
      <w:r>
        <w:rPr>
          <w:rFonts w:ascii="Calibri" w:hAnsi="Calibri"/>
          <w:b w:val="0"/>
          <w:color w:val="9DAF88"/>
          <w:sz w:val="16"/>
        </w:rPr>
        <w:t>Paradiem, LLC dba Intentional Ownership (“IOWN”) is a registered investment advisor. The information provided is for educational and informational purposes only and does not constitute investment advice.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