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CSGP</w:t>
      </w:r>
      <w:r>
        <w:rPr>
          <w:rFonts w:ascii="Calibri" w:hAnsi="Calibri"/>
          <w:b/>
          <w:color w:val="1A2010"/>
          <w:sz w:val="40"/>
        </w:rPr>
        <w:t xml:space="preserve">  CoStar Group, Inc.</w:t>
      </w:r>
    </w:p>
    <w:p>
      <w:pPr>
        <w:spacing w:after="120"/>
      </w:pPr>
      <w:r>
        <w:rPr>
          <w:rFonts w:ascii="Calibri" w:hAnsi="Calibri"/>
          <w:b/>
          <w:color w:val="6E8450"/>
          <w:sz w:val="18"/>
        </w:rPr>
        <w:t>GROWTH SLEEVE · 2026-10-14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NASDAQ · United States</w:t>
      </w:r>
    </w:p>
    <w:p>
      <w:pPr>
        <w:spacing w:after="80"/>
      </w:pPr>
      <w:r>
        <w:rPr>
          <w:rFonts w:ascii="Calibri" w:hAnsi="Calibri"/>
          <w:b w:val="0"/>
          <w:color w:val="3A4A28"/>
          <w:sz w:val="20"/>
        </w:rPr>
        <w:t>CoStar Group, Inc. provides information, analytics, and online marketplace services to the commercial and residential real estate industries worldwide. The company operates CoStar Suite (commercial real estate data), Apartments.com (multifamily listings), LoopNet (commercial listings), Homes.com (residential), Ten-X (auction platform), and STR (hospitality analytics). Q2 2026 delivered its 61st consecutive quarter of double-digit revenue growth at $925M (+18% YoY), with Adjusted EBITDA of $184M more than doubling YoY. Founded in 1987 by CEO Andrew Florance and headquartered in Arlington, Virginia.</w:t>
      </w:r>
    </w:p>
    <w:p>
      <w:r>
        <w:rPr>
          <w:rFonts w:ascii="Calibri" w:hAnsi="Calibri"/>
          <w:b/>
          <w:color w:val="6E8450"/>
          <w:sz w:val="18"/>
        </w:rPr>
        <w:t>6,500 Employees · https://www.costargroup.com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CoStar executed a major business model extension by acquiring Homes.com in 2021 for $156M and investing billions to build it into a residential real estate platform challenging Zillow, while maintaining dominant market share in commercial real estate data — the company achieved its 61st consecutive quarter of double-digit revenue growth in Q2 2026, with residential growing 33% YoY [1][2]. This represents a significant new market entry, not just a product refresh. AI Deployment (0/2): No evidence of AI-powered products shipping to customers or specific AI-driven cost savings quantified in earnings materials; Glassdoor reviews mention AI being used to replace data collection functions, but this is unverified employee commentary rather than management-reported deployment [4]. Market Share (2/2): CoStar Suite is the dominant commercial real estate information platform with no competitor at scale — effectively a monopoly in CRE data built over 39 years of continuous investment; Apartments.com is the #1 multifamily listing platform [1][2]. Product Pipeline (1/2): Homes.com is the major pipeline investment, receiving billions in marketing and development spending to challenge Zillow in residential real estate, with specific growth targets and visible ramp trajectory, but execution remains unproven [2][3]. R&amp;D Intensity (1/1): CoStar spends heavily on technology, data collection, and platform development relative to real estate services peers, maintaining the largest commercial real estate database in the industry with over 30 years of proprietary data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CoStar's purpose of bringing transparency and digitization to real estate information is clear, specific, and distinguishable from peers — the company was founded on the vision of creating the definitive source of commercial real estate data, and 39 years of consistent execution under founder CEO Florance validates its strategic relevance [1]. Community Impact (0/2): CoStar's 2024 ESG report mentions DEI programs and community volunteerism but cites no specific charitable investment amounts, foundation programs, or distinctive community initiatives that set the company apart [5]. Employee Retention (0/2): Glassdoor at 2.4/5 for culture and values with only 31% CEO approval is among the worst in the technology sector — reviews describe 'high turnover,' 'mass layoffs,' 'top-down culture driven heavily by the CEO's personal management style,' and 'very little room for dissent or challenge' [4]. Multiple reviewers cite being told they were 'replaced with AI,' suggesting workforce disruption without organizational trust. Insider Buying (0/2): No evidence of meaningful net insider buying by CEO Florance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CoStar's balance sheet is exceptionally clean with D/E of just 14.5% (score 1.0), reflecting minimal leverage and financial flexibility [1]. Revenue growth of 18.4% YoY (score 1.0) continues the 61-quarter streak of double-digit growth, and the 5-year CAGR of approximately 14% (score 1.0, 2x weight) demonstrates sustained organic growth compounding [1][2]. Forward P/E of 16.6 is well below the 20 target (score 1.0), a significant discount driven by Homes.com investment-compressed margins [2]. ROE of 0.9% (score 0.06, 2x weight) is near-zero because the company is deliberately investing Homes.com marketing spending at the expense of near-term profitability — Adjusted EBITDA of $184M in Q2 suggests underlying profitability is much higher. Profit margin of 2.1% (score 0.10) similarly reflects investment-phase compression rather than structural weakness. PEG ratio unavailable — excluded. Daily dollar volume of $200M provides strong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CoStar presents a fascinating infinite game paradox: founder-CEO Andrew Florance exhibits remarkable long-term vision and existential flexibility (investing billions in Homes.com at the cost of near-term profitability, building a 39-year data monopoly through patient investment), but pairs this with a deeply finite organizational culture — low trust, high turnover, autocratic management, and fear-based decision-making. Sinek would recognize the Just Cause and the courage, but would point to the employee experience as the fatal flaw: an infinite game cannot be sustained by a leader who plays infinite strategy but manages with finite tactics. The company endures despite its culture, not because of 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CoStar's purpose of digitizing and bringing transparency to real estate has been validated by 39 years of consistent execution under founder CEO Florance, surviving the dot-com bust, the GFC, COVID, and multiple industry disruptions [1][2]. The company has never deviated from this mission — expanding from CRE data to multifamily (Apartments.com), commercial listings (LoopNet), hospitality analytics (STR), and now residential (Homes.com), always in service of making real estate information more accessible. The Homes.com investment extends the same cause to the largest real estate vertical. However, the cause reads more as 'building the dominant data platform' than as an idealistic vision of a future state that inspires sacrifice from others.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CoStar exhibits a low-trust environment by every available measure. Glassdoor shows 2.4/5 for culture and values and only 31% CEO approval — among the lowest in the technology sector [4]. Reviews describe 'high turnover,' 'mass layoffs' with employees told they were being 'replaced with AI,' a 'top-down culture driven heavily by the CEO's personal management style,' and 'very little room for dissent or challenge.' This is the antithesis of Sinek's Circle of Safety — employees spend energy protecting themselves from internal volatility rather than advancing the organization's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CoStar's expansion into residential real estate explicitly acknowledges that Zillow built something better in that market — the Homes.com strategy learns from Zillow's strengths (consumer traffic, brand recognition, agent network) while trying to improve on its weaknesses (listing quality, agent experience, property data depth) [2][3]. The competitive response is about building a better product informed by the rival's strengths, not about destroying a competitor — Florance's approach frames Zillow as the standard to exceed rather than the enemy to defeat.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CoStar's Homes.com investment is a textbook Sinek example of existential flexibility — the company is deliberately sacrificing its comfortable CRE monopoly profitability (margins compressed from ~20% to ~2%) to pursue the much larger residential real estate market in service of its Just Cause of digitizing all real estate [2][3]. This mirrors Apple's willingness to cannibalize the iPod with the iPhone: Florance is investing billions to enter a market dominated by Zillow, accepting years of compressed earnings to build a platform that extends the company's mission to its largest addressable market. The courage to make this bet while the stock declined 70% demonstrates genuine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Florance demonstrates a clear pattern of costly long-term bets: investing billions in Homes.com marketing and development to challenge Zillow despite compressing profit margins from ~20% to ~2%, which contributed to a stock decline from $90+ to $29 — and he persisted anyway [2][3]. The company continues to invest heavily in Homes.com growth despite investor pressure to cut spending and restore margins. Earlier, Florance invested decades of capital in building the CRE database when the payoff was uncertain, acquired Ten-X and LoopNet to strengthen the commercial platform, and maintained the 61-quarter streak of double-digit growth through consistent reinvestment. This is a textbook pattern of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CoStar at $29.50 with a $12B market cap offers a rare opportunity to invest in a 39-year-old founder-led data monopoly trading at 16.6x forward earnings during a deliberate investment phase — the company's 61 consecutive quarters of double-digit revenue growth (Q2 2026: $925M, +18% YoY) demonstrates compounding power, while Adjusted EBITDA of $184M more than doubling YoY signals the beginning of margin recovery [1][2]. The CRE data business (CoStar Suite, Apartments.com, LoopNet) is effectively a monopoly with deep switching costs, and the Homes.com investment, while depressing near-term margins, addresses a residential TAM 5x larger than commercial. The balance sheet is pristine at 14.5% D/E with no meaningful debt, and revenue guidance of $3.72-$3.76B (~15% growth) for FY2026 suggests sustained compounding [3].</w:t>
      </w:r>
    </w:p>
    <w:p>
      <w:pPr>
        <w:spacing w:after="120"/>
      </w:pPr>
      <w:r>
        <w:rPr>
          <w:rFonts w:ascii="Calibri" w:hAnsi="Calibri"/>
          <w:b w:val="0"/>
          <w:color w:val="3A4A28"/>
          <w:sz w:val="20"/>
        </w:rPr>
        <w:t>The bear case centers on Homes.com execution risk and culture sustainability. CoStar is burning billions in marketing and development to build Homes.com against Zillow's entrenched position, compressing profit margins from ~20% to ~2% with no guarantee the investment will generate adequate returns — the stock has declined over 65% from its highs as investors price in this uncertainty [2][3]. ROE of 0.9% and profit margin of 2.1% mean the company is generating almost no return on equity during the investment phase, and if Homes.com fails to gain traction against Zillow, the destruction of shareholder value could be permanent. The organizational culture is a structural risk: Glassdoor at 2.4/5 culture and 31% CEO approval suggests a fear-based environment with high turnover, which may ultimately limit the company's ability to attract and retain the talent needed to execute the Homes.com strategy [4]. AI disruption risk is moderate — while CoStar's proprietary database creates a moat, AI tools could enable competitors to aggregate real estate data from public sources more efficiently, potentially commoditizing portions of CoStar's value chain. Key person risk is extreme: Florance has led the company for 39 years with an autocratic management style, and there is no visible succession plan.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Homes.com residential traffic and bookings inflecting — residential revenue grew 33% YoY in Q2 2026, and continued ramp could unlock a TAM 5x larger than CoStar's established commercial real estate business, with Q1 annualized net new bookings up 20% YoY to $67M [1][2]</w:t>
      </w:r>
    </w:p>
    <w:p>
      <w:pPr>
        <w:spacing w:before="40" w:after="40"/>
        <w:ind w:left="283"/>
      </w:pPr>
      <w:r>
        <w:rPr>
          <w:rFonts w:ascii="Calibri" w:hAnsi="Calibri"/>
          <w:b/>
          <w:color w:val="4A6B25"/>
          <w:sz w:val="20"/>
        </w:rPr>
        <w:t xml:space="preserve">2. </w:t>
      </w:r>
      <w:r>
        <w:rPr>
          <w:rFonts w:ascii="Calibri" w:hAnsi="Calibri"/>
          <w:b w:val="0"/>
          <w:color w:val="3A4A28"/>
          <w:sz w:val="20"/>
        </w:rPr>
        <w:t>Margin recovery accelerating — Adjusted EBITDA more than doubled YoY to $184M in Q2 2026, suggesting the investment phase is beginning to scale toward profitability as Homes.com marketing efficiency improves [2]</w:t>
      </w:r>
    </w:p>
    <w:p>
      <w:pPr>
        <w:spacing w:before="40" w:after="40"/>
        <w:ind w:left="283"/>
      </w:pPr>
      <w:r>
        <w:rPr>
          <w:rFonts w:ascii="Calibri" w:hAnsi="Calibri"/>
          <w:b/>
          <w:color w:val="4A6B25"/>
          <w:sz w:val="20"/>
        </w:rPr>
        <w:t xml:space="preserve">3. </w:t>
      </w:r>
      <w:r>
        <w:rPr>
          <w:rFonts w:ascii="Calibri" w:hAnsi="Calibri"/>
          <w:b w:val="0"/>
          <w:color w:val="3A4A28"/>
          <w:sz w:val="20"/>
        </w:rPr>
        <w:t>Forward P/E of 16.6x on a 39-year-old monopoly data platform growing 15-18% annually implies extreme pessimism — any sign of Homes.com traction or margin normalization could drive significant multiple expansion from depressed levels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Homes.com execution risk is binary — CoStar is investing billions to challenge Zillow's entrenched residential platform with no guarantee of success, and the investment has already compressed profit margins from ~20% to ~2% and driven a 65%+ stock decline [2][3]</w:t>
      </w:r>
    </w:p>
    <w:p>
      <w:pPr>
        <w:spacing w:before="40" w:after="40"/>
        <w:ind w:left="283"/>
      </w:pPr>
      <w:r>
        <w:rPr>
          <w:rFonts w:ascii="Calibri" w:hAnsi="Calibri"/>
          <w:b/>
          <w:color w:val="4A6B25"/>
          <w:sz w:val="20"/>
        </w:rPr>
        <w:t xml:space="preserve">2. </w:t>
      </w:r>
      <w:r>
        <w:rPr>
          <w:rFonts w:ascii="Calibri" w:hAnsi="Calibri"/>
          <w:b w:val="0"/>
          <w:color w:val="3A4A28"/>
          <w:sz w:val="20"/>
        </w:rPr>
        <w:t>Organizational culture is a structural liability — Glassdoor at 2.4/5 culture and 31% CEO approval with high turnover and fear-based management may limit the company's ability to attract and retain talent needed for the Homes.com buildout [4]</w:t>
      </w:r>
    </w:p>
    <w:p>
      <w:pPr>
        <w:spacing w:before="40" w:after="40"/>
        <w:ind w:left="283"/>
      </w:pPr>
      <w:r>
        <w:rPr>
          <w:rFonts w:ascii="Calibri" w:hAnsi="Calibri"/>
          <w:b/>
          <w:color w:val="4A6B25"/>
          <w:sz w:val="20"/>
        </w:rPr>
        <w:t xml:space="preserve">3. </w:t>
      </w:r>
      <w:r>
        <w:rPr>
          <w:rFonts w:ascii="Calibri" w:hAnsi="Calibri"/>
          <w:b w:val="0"/>
          <w:color w:val="3A4A28"/>
          <w:sz w:val="20"/>
        </w:rPr>
        <w:t>Key person risk with no succession plan — founder-CEO Florance has led CoStar for 39 years with an autocratic management style, and there is no visible successor, creating existential risk if his leadership becomes unavailable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CoStar's core commercial real estate data business has meaningful defensive moats against AI disruption — the company's proprietary database, built over 39 years through massive investment in research teams and proprietary data collection, creates switching costs and data depth that AI tools cannot easily replicate from public sources [1]. Regulatory complexity in real estate transactions and the relationship-driven nature of commercial brokerage add additional defensive layers. However, CoStar faces real AI exposure: AI tools could enable competitors to aggregate public real estate data more efficiently, potentially undermining the premium CoStar charges for proprietary analytics; the company is already using AI to replace internal data collection roles (per employee reports), suggesting the same technology could commoditize some of its value chain [4]. The residential business (Homes.com) faces even greater AI risk as AI-powered home search and valuation tools proliferate. AI Opportunity (0/1): No quantifiable AI-related revenue has been reported. While CoStar likely uses AI/ML internally for property analytics and data processing, management has not highlighted AI as a revenue driver or quantified AI-enabled products or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CoStar Group Q1 2026 Earnings Release — Revenue $897M (+23% YoY), Net New Bookings $67M (+20% YoY), BusinessWire, April 2026</w:t>
      </w:r>
    </w:p>
    <w:p>
      <w:pPr>
        <w:spacing w:before="20" w:after="20"/>
        <w:ind w:left="170"/>
      </w:pPr>
      <w:r>
        <w:rPr>
          <w:rFonts w:ascii="Calibri" w:hAnsi="Calibri"/>
          <w:b/>
          <w:color w:val="4A6B25"/>
          <w:sz w:val="15"/>
        </w:rPr>
        <w:t xml:space="preserve">2. </w:t>
      </w:r>
      <w:r>
        <w:rPr>
          <w:rFonts w:ascii="Calibri" w:hAnsi="Calibri"/>
          <w:b w:val="0"/>
          <w:color w:val="3A4A28"/>
          <w:sz w:val="17"/>
        </w:rPr>
        <w:t>CoStar Group Q2 2026 Earnings Release — Revenue $925M (+18% YoY), Net Income $55M, Adjusted EBITDA $184M (2x+ YoY), 61st consecutive quarter of double-digit revenue growth, July 2026</w:t>
      </w:r>
    </w:p>
    <w:p>
      <w:pPr>
        <w:spacing w:before="20" w:after="20"/>
        <w:ind w:left="170"/>
      </w:pPr>
      <w:r>
        <w:rPr>
          <w:rFonts w:ascii="Calibri" w:hAnsi="Calibri"/>
          <w:b/>
          <w:color w:val="4A6B25"/>
          <w:sz w:val="15"/>
        </w:rPr>
        <w:t xml:space="preserve">3. </w:t>
      </w:r>
      <w:r>
        <w:rPr>
          <w:rFonts w:ascii="Calibri" w:hAnsi="Calibri"/>
          <w:b w:val="0"/>
          <w:color w:val="3A4A28"/>
          <w:sz w:val="17"/>
        </w:rPr>
        <w:t>CoStar Group FY2026 Guidance — Revenue $3.715-$3.755B (~15% growth), lowered from $3.78-$3.82B; Q3 guided $935-$945M (+13% YoY), July 2026</w:t>
      </w:r>
    </w:p>
    <w:p>
      <w:pPr>
        <w:spacing w:before="20" w:after="20"/>
        <w:ind w:left="170"/>
      </w:pPr>
      <w:r>
        <w:rPr>
          <w:rFonts w:ascii="Calibri" w:hAnsi="Calibri"/>
          <w:b/>
          <w:color w:val="4A6B25"/>
          <w:sz w:val="15"/>
        </w:rPr>
        <w:t xml:space="preserve">4. </w:t>
      </w:r>
      <w:r>
        <w:rPr>
          <w:rFonts w:ascii="Calibri" w:hAnsi="Calibri"/>
          <w:b w:val="0"/>
          <w:color w:val="3A4A28"/>
          <w:sz w:val="17"/>
        </w:rPr>
        <w:t>CoStar Group Glassdoor Reviews — 2.4/5 culture/values, 31% CEO approval, 'high turnover,' 'mass layoffs,' 'replacing with AI,' 'top-down culture,' 3,081 reviews, 2024-2026</w:t>
      </w:r>
    </w:p>
    <w:p>
      <w:pPr>
        <w:spacing w:before="20" w:after="20"/>
        <w:ind w:left="170"/>
      </w:pPr>
      <w:r>
        <w:rPr>
          <w:rFonts w:ascii="Calibri" w:hAnsi="Calibri"/>
          <w:b/>
          <w:color w:val="4A6B25"/>
          <w:sz w:val="15"/>
        </w:rPr>
        <w:t xml:space="preserve">5. </w:t>
      </w:r>
      <w:r>
        <w:rPr>
          <w:rFonts w:ascii="Calibri" w:hAnsi="Calibri"/>
          <w:b w:val="0"/>
          <w:color w:val="3A4A28"/>
          <w:sz w:val="17"/>
        </w:rPr>
        <w:t>CoStar Group 2024 ESG Report — SBTi commitment, DEI programs, community volunteerism, BusinessWire,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Sustainalytics — CoStar ESG Risk Score 27, Low Controversy Level (1/5), January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