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CSTM</w:t>
      </w:r>
      <w:r>
        <w:rPr>
          <w:rFonts w:ascii="Calibri" w:hAnsi="Calibri"/>
          <w:b/>
          <w:color w:val="1A2010"/>
          <w:sz w:val="40"/>
        </w:rPr>
        <w:t xml:space="preserve">  Constellium SE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2026-09-11 · Inspire: 64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Basic Materials · Aluminum · NYSE · France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Constellium is a global leader in the design and manufacture of high value-added aluminium products and solutions, serving aerospace, automotive, and packaging customers, and a major aluminium recycler. Q2 2026 revenue reached $2.75B (+31% YoY) with record quarterly Adjusted EBITDA, driven by Packaging &amp; Automotive Rolled Products ($1.68B, +36%) on North American automotive rolled product supply shortages and strong aerospace/recycling demand [1]. Management raised full-year 2026 Adjusted EBITDA guidance to $980M-$1.02B and free cash flow guidance to above $300M [1].</w:t>
      </w:r>
    </w:p>
    <w:p>
      <w:r>
        <w:rPr>
          <w:rFonts w:ascii="Calibri" w:hAnsi="Calibri"/>
          <w:b/>
          <w:color w:val="6E8450"/>
          <w:sz w:val="18"/>
        </w:rPr>
        <w:t>12,000 Employees · https://www.constellium.com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Constellium has expanded recycling capacity to over 750,000 metric tons annually via a €130M investment in a new recycling center at Neuf-Brisach, and is building a new revenue stream in EV structural components (battery trays, packs, subframes) as its 'next big volume play' [3]. This is meaningful expansion but not a full business-model transformation. AI Deployment (1/2): The company deployed SmartMelt, a digital-twin furnace technology, at Neuf-Brisach, reportedly improving energy performance and productivity by ~10% in initial trials, but this remains a single-site trial rather than broad customer-facing AI product deployment [3]. Market Share (2/2): Constellium holds leading niche positions — a top-tier global aerospace plate producer and one of Europe's largest can-sheet packaging producers — with Q2 2026 Packaging &amp; Automotive Rolled Products revenue up 36% YoY reflecting share gains amid North American automotive rolled-product supply shortages [1]. Product Pipeline (1/2): EV battery enclosure and structural component programs are named as a strategic growth priority, but specific launch dates and contracted revenue visibility were not disclosed [3]. R&amp;D Intensity (0/1): R&amp;D spend of approximately $50M against ~$9.58B TTM revenue (~0.5% of revenue) is below typical industrial-sector R&amp;D intensity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Constellium's stated purpose — to be a global leader in technologically advanced, responsibly manufactured aluminium and aluminium recycling supporting a circular economy — is clear and backed by quantified 2030 targets (685,000 metric tons of recycled input by 2026, a 10% improvement over 2019), but it is not highly distinctive from peer decarbonization commitments across the metals sector [3][5]. Community Impact (0/2): No evidence of significant charitable giving, foundation activity, or community investment beyond standard compliance-oriented sustainability programs (EcoVadis gold rating, ASI certification) was found [5]. Employee Retention (0/2): No specific turnover, tenure, or retention data was found in available sources. Insider Buying (0/2): Insider activity over the trailing 12 months shows 14 insider sells versus only 2 small buys, including a $1.6M sale by the President of A&amp;T and a $1.56M sale by the SVP &amp; CHRO in May 2026 — a pattern of net insider selling with no meaningful buying conviction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(Growth weighting: PEG excluded — unavailable). Return on Equity of 53.09% and TTM revenue growth of 25.92% both far exceed targets, and Forward P/E of 10.05x is well below the 20x target, reflecting a cheaply valued cyclical industrial [2]. 5yr revenue CAGR of ~7.4% is solid but below the 10% target. The primary drags are Debt-to-Equity of 153% (above the 70% target, reflecting leveraged capital structure typical of capital-intensive metals processors) and Profit Margin of 5.69% (well below the 20% target, reflecting thin margins on metal-price pass-through revenue). Average daily volume of ~1.42M shares at a $25.99 stock price (~$36.9M/day) clears the liquidity floor by a wide margin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Constellium shows a genuine, quantified commitment to circular-economy aluminium and has backed it with real capital (recycling capacity investment, digital-twin efficiency technology) and a growing EV structural-components business, but the pattern is one of incremental adaptation rather than a tested, decades-validated Just Cause. Heavy net insider selling and a lack of disclosed employee-culture or competitive-mindset evidence keep this in mixed territory rather than a clear infinite-game exemplar.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Constellium's circular-economy aluminium purpose is genuine and connects specific capital investment (the €130M Neuf-Brisach recycling center, quantified 2030 recycling and emissions targets) to a larger sustainability narrative [3][5]. However, the cause has not been tested through a major leadership transition or industry crisis, and its language largely mirrors sector-wide decarbonization commitments rather than a category-defining vision unique to Constellium.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No evidence of layoffs, strikes, or organizational instability was found, and the company maintains ASI and EcoVadis certifications that imply baseline labor and safety governance [5]. However, no specific retention, tenure, or employee-sentiment data was available to support a higher score, and broad insider selling across multiple senior executives (CHRO, Chief Innovation Officer, Chief Procurement Officer) in a concentrated window is a mild caution flag rather than a trust signal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was found of Constellium framing its competitive position (versus Novelis, Norsk Hydro, Alcoa) in terms of learning from rivals' strengths or self-improvement; available disclosures focus on share gains from supply shortages rather than a stated competitive philosophy, so no tiebreaker credit is awarded absent explicit evidence.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Constellium is evolving its business mix toward EV battery enclosures and structural components and toward higher-recycled-content aluminium, representing incremental adaptation to industry shifts (electrification, decarbonization) [3]. This is meaningful evolution but not a transformative reinvention on the scale of abandoning a core legacy business.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Management committed €130M to a new recycling center and continues SmartMelt digital-twin rollout during a capital-intensive, cyclical business environment — a genuine long-term capability investment made ahead of guaranteed near-term payback [3]. This is one clear example of prioritizing future capability, but the record does not yet show a broader pattern across multiple cycles.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Constellium screens as a cheap, cash-generative cyclical: Forward P/E of 10.05x and ROE of 53.09% look attractive against Q2 2026 revenue growth of 31% YoY and record Adjusted EBITDA, with management raising full-year 2026 EBITDA guidance to $980M-$1.02B and FCF guidance above $300M [1]. Packaging &amp; Automotive Rolled Products revenue jumped 36% YoY on North American aluminum supply shortages, and the company's recycling scale-up (750,000+ metric tons capacity, €130M Neuf-Brisach investment) and emerging EV structural-components business (battery trays, packs, subframes) provide multi-year secular tailwinds tied to electrification and decarbonization [1][3]. An Altman Z-score of 2.79 and thin 5.69% profit margin are the visible offsets to an otherwise improving fundamental picture.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thin margins, leverage, and cyclicality: profit margin of 5.69% reflects a metal-price pass-through business model with limited pricing power, and Debt-to-Equity of 153% leaves the balance sheet more exposed than the target industrial profile in a capital-intensive, energy-sensitive industry [2]. Aluminum prices are projected by Goldman Sachs analysts to fall roughly 15% by Q4 2026 to $2,350/ton, a headwind to revenue and margins that would pressure the current growth trajectory [3]. Fourteen insider sales versus only two small buys over the trailing year, including large sales by the CHRO and President of A&amp;T, signal limited insider conviction at current prices [4]. R&amp;D intensity of roughly 0.5% of revenue is low, and the company's innovation pipeline (EV structural components) lacks disclosed contract dates or revenue visibility, leaving execution risk on the next growth leg unquantified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North American automotive rolled-product supply shortages continuing to drive share gains and pricing power in the Packaging &amp; Automotive Rolled Products segment, which grew 36% YoY in Q2 2026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Recycling capacity expansion to 750,000+ metric tons annually and the SmartMelt digital-twin rollout lowering energy costs and carbon intensity, supporting margin expansion toward the raised $980M-$1.02B 2026 EBITDA guidance [1][3]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EV battery tray, pack, and subframe structural-component wins ramping as a new volume driver as automakers prioritize lightweighting for electric vehicle range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Projected ~15% decline in aluminum prices by Q4 2026 (per Goldman Sachs) would compress metal-price-linked revenue and pressure the thin 5.69% profit margin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Elevated leverage (153% Debt-to-Equity) and an Altman Z-score of 2.79 leave limited balance sheet cushion if aerospace, automotive, or packaging demand softens simultaneously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Rising AI data-center electricity demand is increasing power costs across the aluminum value chain, a cost headwind industry-wide even though it does not threaten Constellium's product demand directly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Constellium's core business — physically rolling, extruding, and recycling aluminium for aerospace, automotive, and packaging customers — is a physical manufacturing process that AI structurally cannot displace; no analyst commentary identifies AI substitution risk to the company's revenue base [1][3]. If anything, AI data-center buildout is a double-edged dynamic for the aluminum sector — rising data-center electricity demand is squeezing smelter power costs industry-wide, a cost risk rather than a demand-substitution risk, and does not threaten Constellium's rolled-products franchise directly [3]. AI Opportunity (0/1): Constellium does not generate quantifiable revenue from AI products or services; its SmartMelt digital-twin deployment is an internal efficiency tool at a single site, not a monetized AI offering, so no tiebreaker point is awarded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64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Constellium Q2 2026 Earnings Release and Presentation — Revenue $2.75B (+31% YoY), Record Adjusted EBITDA, Raised 2026 Guidance,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StockAnalysis.com — CSTM Key Statistics and Revenue History (2020-2025, TTM),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Constellium 2025 Sustainability Report; Neuf-Brisach €130M Recycling Center and SmartMelt Digital Twin — GlobeNewswire, StockTitan, March 2026; Aluminum data-center demand context via Yahoo Finance,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GuruFocus, TipRanks, MarketBeat, StockTitan — CSTM Insider Trading Activity (Form 4 filings),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Aluminium Stewardship Initiative Audit Report — Constellium SE Europe and North America, 2024; EcoVadis and MSCI ESG ratings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