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CTAS</w:t>
      </w:r>
      <w:r>
        <w:rPr>
          <w:rFonts w:ascii="Calibri" w:hAnsi="Calibri"/>
          <w:b/>
          <w:color w:val="1A2010"/>
          <w:sz w:val="40"/>
        </w:rPr>
        <w:t xml:space="preserve">  Cintas Corporation</w:t>
      </w:r>
    </w:p>
    <w:p>
      <w:pPr>
        <w:spacing w:after="120"/>
      </w:pPr>
      <w:r>
        <w:rPr>
          <w:rFonts w:ascii="Calibri" w:hAnsi="Calibri"/>
          <w:b/>
          <w:color w:val="6E8450"/>
          <w:sz w:val="18"/>
        </w:rPr>
        <w:t>GROWTH SLEEVE · 2026-09-11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NASDAQ · United States</w:t>
      </w:r>
    </w:p>
    <w:p>
      <w:pPr>
        <w:spacing w:after="80"/>
      </w:pPr>
      <w:r>
        <w:rPr>
          <w:rFonts w:ascii="Calibri" w:hAnsi="Calibri"/>
          <w:b w:val="0"/>
          <w:color w:val="3A4A28"/>
          <w:sz w:val="20"/>
        </w:rPr>
        <w:t>Cintas provides uniform rental and facility services, first aid and safety products, fire protection, and document management to businesses across North America under the 'We help businesses get Ready for the Workday' positioning. FY2026 (ended May 31, 2026) revenue reached $11.26B (+8.9% YoY, 8.3% organic) with diluted EPS of $4.91 (+11.6%) and record gross margin of 51.0% [1]. On March 10, 2026, Cintas agreed to acquire rival UniFirst for $5.5B in cash-and-stock — its third attempt after failed 2022 and early-2025 bids — expecting ~$375M in synergies; the deal cleared a UniFirst shareholder vote but faces an FTC Second Request antitrust review [3].</w:t>
      </w:r>
    </w:p>
    <w:p>
      <w:r>
        <w:rPr>
          <w:rFonts w:ascii="Calibri" w:hAnsi="Calibri"/>
          <w:b/>
          <w:color w:val="6E8450"/>
          <w:sz w:val="18"/>
        </w:rPr>
        <w:t>47,000 Employees · https://www.cintas.com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pending $5.5B UniFirst acquisition — succeeding on a third attempt after 2022 and early-2025 bids failed — would meaningfully expand route density and service breadth, and Cintas has diversified over time from core uniform rental into First Aid &amp; Safety, Fire Protection, and Document Management lines, though this is scale consolidation more than product reinvention [3]. AI Deployment (1/2): Cintas announced an expanded partnership with Google Cloud to build a generative AI-powered internal knowledge center, with CEO Todd Schneider as the public spokesperson, but no customer-facing AI product or quantified internal savings figure was disclosed [6]. Market Share (2/2): Cintas is the dominant North American leader in uniform and facility services, and the UniFirst acquisition would further consolidate share in a fragmented market where Cintas already leads competitors including Aramark and UniFirst itself [3]. Product Pipeline (1/2): 'Enhances Workday Solutions and advances industry innovation' is cited as a deal rationale for the UniFirst acquisition, but no specific next-generation product with a named launch date or revenue figure was found [3]. R&amp;D Intensity (0/1): No R&amp;D spending figures or percentage-of-revenue data were found for this services business, consistent with a low-R&amp;D-intensity service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Cintas's 1979 Principal Objective states the company will 'exceed our customers' expectations to maximize the long-term value of Cintas for its shareholders and working partners' — explicit shareholder-value-maximization language that is generic and interchangeable with any company's boilerplate purpose, notwithstanding the more consumer-facing 'get Ready for the Workday' tagline [6]. Community Impact (1/2): The Cintas Cares Foundation and Partner Assistance Fund provided over $233,000 in hardship grants to employees, and Cintas employees have raised more than $1,276,000 for the American Cancer Society since 1984 alongside partnerships with the American Heart Association and National Fallen Firefighters Foundation — real but modest programs for a company of this scale [5]. Employee Retention (0/2): No specific turnover or tenure data was found; Glassdoor reviews are mixed, with some describing leadership as 'completely detached from the field' and others describing a strong results-oriented culture, precluding a positive score without hard data [6]. Insider Buying (1/2): CEO Todd Schneider and other senior executives (CFO, COO, general counsel) reported stock disposals in August 2026, but reporting indicates these were largely non-discretionary sell-to-cover transactions tied to restricted stock vesting rather than a conviction signal either way, with Schneider retaining ~694,900 shares worth $140.9M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weighting (Forward PEG, ROE, and 5yr Revenue CAGR at 2x weight). Debt-to-Equity of 53% and Return on Equity of 40.71% both clear their targets comfortably, and Profit Margin of 17.75% is solid though below the 20% target [2]. Revenue growth of 8.9% YoY (FY2026) and an estimated ~9.8% 5yr CAGR (from ~$7.06B FY2021 to $11.26B FY2026) sit just under the 10% growth target. The main drags are Forward P/E of 36.13x (well above the 20x target, reflecting a premium quality multiple) and Forward PEG of 3.11 (worse than the 3.0 floor, scoring zero at 2x weight), reflecting a valuation that has run ahead of the growth rate. Average daily volume of ~1.73M shares at $198.44/share (~$343M/day) clears the liquidity floor with enormous room to spare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Cintas presents as a well-run, disciplined operator, but its own governing language is explicitly shareholder-value-maximization framed, and its central 2026 strategic act — a third attempt to acquire direct competitor UniFirst for $5.5B — reads as classic finite-game consolidation (buying growth and eliminating a rival) rather than a Just Cause-driven pivot. Sinek would note the absence of a resilient, service-oriented cause beyond growing scale and shareholder returns.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Cintas's own 1979 Principal Objective explicitly frames the company's purpose as maximizing 'the long-term value of Cintas for its shareholders and working partners' — precisely the finite, shareholder-primacy language Sinek contrasts with a genuine Just Cause [6]. The consumer-facing 'get Ready for the Workday' tagline is operationally descriptive rather than an idealistic vision of a future state, and no evidence shows strategic decisions tracing back to a cause beyond growth and margin expansion.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Cintas has been named to the WSJ Management Top 250 for two consecutive years, but Glassdoor reviews are split — some employees describe leadership as 'completely detached from the field' focused on compliance optics, while others describe a results-driven culture where 'the sky is the limit' [6]. Absent turnover or tenure data, this is adequate-but-unremarkable evidence, not a high-trust standout.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Cintas's pursuit of UniFirst across three attempts (2022, early 2025, and the successful 2026 bid) is framed around eliminating a competitor through acquisition and capturing $375M in cost synergies, not learning from a rival's strengths or self-improvement — a textbook finite competitive posture focused on winning through consolidation rather than product excellence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Cintas has expanded from core uniform rental into First Aid &amp; Safety, Fire Protection, and Document Management over time, and the UniFirst deal would further broaden 'Workday Solutions' — genuine adjacent-market evolution, but incremental and acquisition-led rather than a transformative reinvention of the underlying business model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earnings for long-term capability; the defining strategic move of 2026 — the $5.5B UniFirst acquisition — is a scale-and-synergy play ($375M in expected cost savings) rather than a costly principled stand, and record gross margins (51.0%) alongside continued share buybacks and dividend growth suggest optimization for financial metrics over mission-driven risk-taking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Cintas remains a high-quality compounder with FY2026 revenue of $11.26B (+8.9%, 8.3% organic), record 51.0% gross margin, ROE of 40.71%, and 45 consecutive years of dividend growth — hallmarks of a durable, route-density-driven service moat that AI cannot easily disrupt [1][2]. The pending $5.5B UniFirst acquisition, if it clears the FTC's Second Request, would meaningfully consolidate the North American uniform and facility services market, adding scale and an estimated $375M in run-rate synergies within four years [3]. Low leverage (53% D/E) and consistent double-digit EPS growth (+11.6% in FY2026) support continued capital returns even as the company integrates a major acquisition.</w:t>
      </w:r>
    </w:p>
    <w:p>
      <w:pPr>
        <w:spacing w:after="120"/>
      </w:pPr>
      <w:r>
        <w:rPr>
          <w:rFonts w:ascii="Calibri" w:hAnsi="Calibri"/>
          <w:b w:val="0"/>
          <w:color w:val="3A4A28"/>
          <w:sz w:val="20"/>
        </w:rPr>
        <w:t>The bear case is valuation and strategic character: Forward P/E of 36.13x and a Forward PEG of 3.11 (worse than the 3.0 IOWN floor) price in flawless execution for a business growing revenue at under 9% organically, leaving little room for integration missteps on the UniFirst deal [2]. The FTC's Second Request signals real antitrust risk that could delay, restructure, or block the transaction outright, and three attempts (2022, early 2025, 2026) to acquire the same target suggest management sees limited organic growth optionality without consolidation [3]. From an Infinite Game lens, Cintas's own Principal Objective is explicitly shareholder-value-maximization language, and the UniFirst pursuit reads as competitor elimination rather than a Just Cause-driven strategy — a governance signal, not a near-term earnings risk, but one that matters for long-duration conviction. Mixed Glassdoor sentiment on executive-field disconnect adds a modest culture-risk flag.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UniFirst acquisition closing in 2H 2026 following the shareholder vote, unlocking an estimated $375M in run-rate cost synergies within four years and meaningfully expanding route density and customer breadth [3]</w:t>
      </w:r>
    </w:p>
    <w:p>
      <w:pPr>
        <w:spacing w:before="40" w:after="40"/>
        <w:ind w:left="283"/>
      </w:pPr>
      <w:r>
        <w:rPr>
          <w:rFonts w:ascii="Calibri" w:hAnsi="Calibri"/>
          <w:b/>
          <w:color w:val="4A6B25"/>
          <w:sz w:val="20"/>
        </w:rPr>
        <w:t xml:space="preserve">2. </w:t>
      </w:r>
      <w:r>
        <w:rPr>
          <w:rFonts w:ascii="Calibri" w:hAnsi="Calibri"/>
          <w:b w:val="0"/>
          <w:color w:val="3A4A28"/>
          <w:sz w:val="20"/>
        </w:rPr>
        <w:t>Continued organic growth in First Aid &amp; Safety, Fire Protection, and Document Management segments diversifying revenue beyond core uniform rental [1]</w:t>
      </w:r>
    </w:p>
    <w:p>
      <w:pPr>
        <w:spacing w:before="40" w:after="40"/>
        <w:ind w:left="283"/>
      </w:pPr>
      <w:r>
        <w:rPr>
          <w:rFonts w:ascii="Calibri" w:hAnsi="Calibri"/>
          <w:b/>
          <w:color w:val="4A6B25"/>
          <w:sz w:val="20"/>
        </w:rPr>
        <w:t xml:space="preserve">3. </w:t>
      </w:r>
      <w:r>
        <w:rPr>
          <w:rFonts w:ascii="Calibri" w:hAnsi="Calibri"/>
          <w:b w:val="0"/>
          <w:color w:val="3A4A28"/>
          <w:sz w:val="20"/>
        </w:rPr>
        <w:t>Record gross margin trajectory (51.0% in Q4 FY2026, +130bps YoY) from route optimization and scale, supporting continued double-digit EPS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FTC Second Request on the UniFirst acquisition introduces material risk of deal delay, forced divestitures, or an outright block given the combined entity's dominant share of the North American uniform rental market [3]</w:t>
      </w:r>
    </w:p>
    <w:p>
      <w:pPr>
        <w:spacing w:before="40" w:after="40"/>
        <w:ind w:left="283"/>
      </w:pPr>
      <w:r>
        <w:rPr>
          <w:rFonts w:ascii="Calibri" w:hAnsi="Calibri"/>
          <w:b/>
          <w:color w:val="4A6B25"/>
          <w:sz w:val="20"/>
        </w:rPr>
        <w:t xml:space="preserve">2. </w:t>
      </w:r>
      <w:r>
        <w:rPr>
          <w:rFonts w:ascii="Calibri" w:hAnsi="Calibri"/>
          <w:b w:val="0"/>
          <w:color w:val="3A4A28"/>
          <w:sz w:val="20"/>
        </w:rPr>
        <w:t>Premium valuation (36.13x forward earnings, 3.11 PEG) leaves little margin for error if organic growth decelerates below the current ~8-9% pace or integration costs exceed expectations [2]</w:t>
      </w:r>
    </w:p>
    <w:p>
      <w:pPr>
        <w:spacing w:before="40" w:after="40"/>
        <w:ind w:left="283"/>
      </w:pPr>
      <w:r>
        <w:rPr>
          <w:rFonts w:ascii="Calibri" w:hAnsi="Calibri"/>
          <w:b/>
          <w:color w:val="4A6B25"/>
          <w:sz w:val="20"/>
        </w:rPr>
        <w:t xml:space="preserve">3. </w:t>
      </w:r>
      <w:r>
        <w:rPr>
          <w:rFonts w:ascii="Calibri" w:hAnsi="Calibri"/>
          <w:b w:val="0"/>
          <w:color w:val="3A4A28"/>
          <w:sz w:val="20"/>
        </w:rPr>
        <w:t>Mixed employee sentiment on executive-field disconnect (Glassdoor) and a shareholder-value-first stated Principal Objective indicate limited mission-driven differentiation versus peers, a soft long-term culture risk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Cintas's core revenue engine is the physical, route-based delivery, laundering, and replenishment of uniforms and facility products — a logistics-and-labor-intensive service that AI cannot substitute, and no analyst coverage identifies structural AI displacement risk to this model [1][6]. Cintas's own FY2025 10-K flags AI as a generic risk factor ('AI could disrupt certain aspects of our business...if we are not able to adapt') but this is boilerplate risk-factor language rather than an identified specific threat, and back-office functions exposed to AI automation (billing, scheduling, knowledge management) represent a small share of the value chain and are more efficiency opportunity than revenue risk [6]. AI Opportunity (0/1): The Google Cloud generative-AI knowledge center is an internal productivity tool with no disclosed, quantifiable AI-attributable revenue, so no tiebreaker point is awarded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Cintas Corporation FY2026 Fourth Quarter and Full Year Results — Revenue $11.26B (+8.9%), EPS $4.91, Record Gross Margin 51.0%,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CTAS Key Statistics,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Cintas to Acquire UniFirst in $5.5B Transaction — Cintas Newsroom, ASI, MDM, TRSA, StockTitan; FTC Second Request coverage, March-August 2026</w:t>
      </w:r>
    </w:p>
    <w:p>
      <w:pPr>
        <w:spacing w:before="20" w:after="20"/>
        <w:ind w:left="170"/>
      </w:pPr>
      <w:r>
        <w:rPr>
          <w:rFonts w:ascii="Calibri" w:hAnsi="Calibri"/>
          <w:b/>
          <w:color w:val="4A6B25"/>
          <w:sz w:val="15"/>
        </w:rPr>
        <w:t xml:space="preserve">4. </w:t>
      </w:r>
      <w:r>
        <w:rPr>
          <w:rFonts w:ascii="Calibri" w:hAnsi="Calibri"/>
          <w:b w:val="0"/>
          <w:color w:val="3A4A28"/>
          <w:sz w:val="17"/>
        </w:rPr>
        <w:t>GuruFocus, Motley Fool, Yahoo Finance — CTAS Insider Trading Activity (Form 4 filings), August 2026</w:t>
      </w:r>
    </w:p>
    <w:p>
      <w:pPr>
        <w:spacing w:before="20" w:after="20"/>
        <w:ind w:left="170"/>
      </w:pPr>
      <w:r>
        <w:rPr>
          <w:rFonts w:ascii="Calibri" w:hAnsi="Calibri"/>
          <w:b/>
          <w:color w:val="4A6B25"/>
          <w:sz w:val="15"/>
        </w:rPr>
        <w:t xml:space="preserve">5. </w:t>
      </w:r>
      <w:r>
        <w:rPr>
          <w:rFonts w:ascii="Calibri" w:hAnsi="Calibri"/>
          <w:b w:val="0"/>
          <w:color w:val="3A4A28"/>
          <w:sz w:val="17"/>
        </w:rPr>
        <w:t>Cintas FY2025 Community Impact Report; Cintas Cares Foundation and Partner Assistance Fund</w:t>
      </w:r>
    </w:p>
    <w:p>
      <w:pPr>
        <w:spacing w:before="20" w:after="20"/>
        <w:ind w:left="170"/>
      </w:pPr>
      <w:r>
        <w:rPr>
          <w:rFonts w:ascii="Calibri" w:hAnsi="Calibri"/>
          <w:b/>
          <w:color w:val="4A6B25"/>
          <w:sz w:val="15"/>
        </w:rPr>
        <w:t xml:space="preserve">6. </w:t>
      </w:r>
      <w:r>
        <w:rPr>
          <w:rFonts w:ascii="Calibri" w:hAnsi="Calibri"/>
          <w:b w:val="0"/>
          <w:color w:val="3A4A28"/>
          <w:sz w:val="17"/>
        </w:rPr>
        <w:t>Glassdoor Cintas Reviews; Klover.ai 'Cintas' AI Strategy' (Google Cloud partnership); Cintas FY2025 Form 10-K AI risk factor disclosure</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