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CTMX</w:t>
      </w:r>
      <w:r>
        <w:rPr>
          <w:rFonts w:ascii="Calibri" w:hAnsi="Calibri"/>
          <w:b/>
          <w:color w:val="1A2010"/>
          <w:sz w:val="40"/>
        </w:rPr>
        <w:t xml:space="preserve">  CytomX Therapeutics, Inc.</w:t>
      </w:r>
    </w:p>
    <w:p>
      <w:pPr>
        <w:spacing w:after="120"/>
      </w:pPr>
      <w:r>
        <w:rPr>
          <w:rFonts w:ascii="Calibri" w:hAnsi="Calibri"/>
          <w:b/>
          <w:color w:val="6E8450"/>
          <w:sz w:val="18"/>
        </w:rPr>
        <w:t>GROWTH SLEEVE · 2026-10-16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CytomX Therapeutics is a clinical-stage oncology company pioneering conditionally activated biologics (Probody therapeutics) designed to widen the therapeutic index of cancer treatments by activating only in the tumor microenvironment. Led by CEO Sean McCarthy since 2011, the company's lead assets are CX-2051 (colorectal cancer) and CX-801 (melanoma). Revenue is partnership-driven and volatile — TTM revenue of approximately $18.3M is down 87% as milestone payments vary quarter to quarter. Q1 2026 revenue was $10.3M (beating $4.7M estimate) while Q2 was approximately $1.4M. Market cap is $525M with minimal debt (D/E 1.9%).</w:t>
      </w:r>
    </w:p>
    <w:p>
      <w:r>
        <w:rPr>
          <w:rFonts w:ascii="Calibri" w:hAnsi="Calibri"/>
          <w:b/>
          <w:color w:val="6E8450"/>
          <w:sz w:val="18"/>
        </w:rPr>
        <w:t>200 Employees · https://www.cytomx.com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CytomX developed the Probody therapeutic platform — a genuinely innovative approach to conditionally activated biologics that represents a meaningful advance in cancer immunotherapy by targeting the tumor microenvironment while sparing healthy tissue [1][2]. The company has established multiple collaboration partnerships (including with major pharma) validating the platform's scientific merit. However, earlier clinical candidates CX-072 and CX-2009 faced efficacy and safety challenges, demonstrating execution risk alongside innovation. AI Deployment (0/2): No evidence of AI-powered drug discovery tools or AI-driven operational savings [2]. Market Share (0/2): Clinical-stage company with no commercial products and no market share in any oncology category [1]. Product Pipeline (1/2): CX-2051 (colorectal cancer) and CX-801 (melanoma) are in clinical development targeting areas of high unmet medical need, with Rachael Lester joining as Chief Business Officer in October 2025 to advance partnership strategy [2]. However, specific Phase 3 timelines and launch dates were not disclosed. R&amp;D Intensity (1/1): R&amp;D is the company's primary expenditure as a clinical-stage biotech, consuming the vast majority of operating expenses — well above the industry average relative to revenue base.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CytomX describes itself as 'a leader in the field of masked, conditionally activated biologics' designed to 'address areas of high unmet medical need' in cancer [2]. This connects the company's work to a meaningful health outcome — improving cancer treatment by widening the therapeutic index. The mission is clear, specific to CytomX's technology, and differentiates from generic biotech language. Community Impact (0/2): No evidence of community investment, charitable programs, or distinctive social impact beyond the inherent value of cancer drug development [3]. Employee Retention (1/2): CEO Sean McCarthy has served since August 2011 — a 15-year tenure providing exceptional leadership continuity for a clinical-stage biotech. Amy Peterson was promoted to president and COO in 2022 from within, and Chris Ogden was promoted to CFO in 2024, suggesting a promote-from-within culture that retains talent [2]. Insider Buying (0/2): No evidence of meaningful net insider buying by CEO McCarthy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1.9% is exceptionally low, well below the 70% target, scoring 1.0 (1x weight) — reflecting CytomX's equity-funded model with minimal debt [1]. ROE of -37.8% is deeply negative, scoring 0.0 (2x weight) — typical for a pre-commercial biotech spending heavily on clinical trials. Revenue growth of -92.4% (trailing) scores 0.0 (1x weight), driven by the lumpy nature of partnership milestone payments rather than deteriorating business fundamentals [1]. Profit margin of 0.0% scores 0.0 (1x weight) against the 20% target. Forward P/E is negative (-5.13, excluded for loss-making company). Weighted sum: (1x1.0)+(2x0.0)+(1x0.0)+(1x0.0) = 1.0, max weight 5, Infrastructure = round(1.0/5 x 10) = 2. Daily dollar volume of approximately $8.1M (3,364,698 x $2.41)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CytomX shows more infinite game characteristics than a typical clinical-stage biotech, primarily through CEO Sean McCarthy's exceptional 15-year tenure and the company's willingness to pivot from failed clinical candidates to new pipeline assets. The Probody platform represents a genuine scientific cause — improving cancer treatment by targeting tumors while sparing healthy tissue — and the promote-from-within leadership approach suggests organizational trust. However, the company's financial vulnerability, pre-commercial status, and dependence on partnership milestones for revenue create finite constraints that limit the ability to play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CytomX's mission to develop conditionally activated biologics that 'address areas of high unmet medical need' in cancer connects the company's work to a genuine health outcome [2]. The Probody platform — designed to widen the therapeutic index by activating only in the tumor microenvironment — represents a vision of safer, more effective cancer treatment. This is specific and meaningful, but hasn't been proven through decades of consistent execution or crisis-tested leadership decisions. The cause exists but remains aspirational.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Sean McCarthy's 15-year tenure since August 2011 provides exceptional leadership stability for a clinical-stage biotech [2]. Amy Peterson's promotion to president and COO in 2022, Chris Ogden's promotion to CFO in 2024, and Rachael Lester's hire as Chief Business Officer in October 2025 suggest a combination of internal promotion and strategic external hiring that reflects organizational maturity. However, no specific employee satisfaction data, voluntary turnover rates, or cultural indicators were available to confirm internal trust levels.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CytomX frames competition in terms of self-improvement or learning from rivals. The company positions itself as a 'leader in conditionally activated biologics,' using competitive language focused on differentiation rather than acknowledging competitors' strengths [2]. Standard finite competitive positioning for a clinical-stage biotech.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CytomX demonstrated meaningful adaptability by pivoting from earlier clinical candidates CX-072 and CX-2009 — which faced efficacy and safety challenges highlighted in shareholder allegations — to the current pipeline of CX-2051 (colorectal cancer) and CX-801 (melanoma) [1][3]. This willingness to abandon underperforming assets and redirect resources to more promising candidates shows the strategic flexibility essential for biotech survival, though it represents pipeline management rather than a transformative business model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Sean McCarthy's decision to continue investing in the Probody platform through 15 years of pre-commercial operations demonstrates long-term commitment to the science over short-term financial optimization [2]. Pivoting away from CX-072 and CX-2009 after disappointing results — abandoning years of investment to redirect resources to CX-2051 and CX-801 — required the courage to acknowledge failure and change course. However, the company has not demonstrated the pattern of costly, proactive bets that would merit the full 2 points.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CytomX at $2.41 with a $525M market cap offers a high-risk/high-reward bet on a genuinely innovative conditionally activated biologics platform for cancer immunotherapy. The Probody technology — biologics that activate only in the tumor microenvironment — addresses a real scientific challenge of widening the therapeutic index in oncology, validated by partnerships with major pharma companies [1][2]. CEO Sean McCarthy's 15-year tenure provides rare leadership continuity for a clinical-stage biotech, the near-zero D/E ratio (1.9%) preserves financial flexibility, and the clinical pipeline (CX-2051 for colorectal cancer, CX-801 for melanoma) targets large oncology markets with high unmet need. If either lead candidate achieves positive clinical results and regulatory approval, the platform value could justify multiples of the current market cap.</w:t>
      </w:r>
    </w:p>
    <w:p>
      <w:pPr>
        <w:spacing w:after="120"/>
      </w:pPr>
      <w:r>
        <w:rPr>
          <w:rFonts w:ascii="Calibri" w:hAnsi="Calibri"/>
          <w:b w:val="0"/>
          <w:color w:val="3A4A28"/>
          <w:sz w:val="20"/>
        </w:rPr>
        <w:t>The bear case reflects the harsh reality of clinical-stage biotech economics. Revenue declined 87% on a trailing basis due to the lumpy nature of partnership milestone payments, with quarterly swings from $10.3M (Q1) to $1.4M (Q2) making financial planning nearly impossible [1]. ROE of -37.8% and 0% profit margin reflect ongoing cash burn with no near-term path to self-sustainability. Earlier Probody candidates CX-072 and CX-2009 faced efficacy and safety issues, and shareholder lawsuits alleged the company misled investors about those programs' prospects, raising credibility questions about the current pipeline's probability of success [3]. The $2.41 stock price (down from $3.06 SMA-50) signals continued market skepticism, and the Sustainalytics ESG risk rating of 36.37 ('High') reflects governance concerns. At this market cap, a single clinical failure could be existential, while success requires surviving multiple years of cash burn before any product revenue materializes.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CX-2051 clinical data readout for colorectal cancer — positive efficacy and safety results could validate the Probody platform's tumor-targeting mechanism and drive significant revaluation of the company's pipeline [1][2]</w:t>
      </w:r>
    </w:p>
    <w:p>
      <w:pPr>
        <w:spacing w:before="40" w:after="40"/>
        <w:ind w:left="283"/>
      </w:pPr>
      <w:r>
        <w:rPr>
          <w:rFonts w:ascii="Calibri" w:hAnsi="Calibri"/>
          <w:b/>
          <w:color w:val="4A6B25"/>
          <w:sz w:val="20"/>
        </w:rPr>
        <w:t xml:space="preserve">2. </w:t>
      </w:r>
      <w:r>
        <w:rPr>
          <w:rFonts w:ascii="Calibri" w:hAnsi="Calibri"/>
          <w:b w:val="0"/>
          <w:color w:val="3A4A28"/>
          <w:sz w:val="20"/>
        </w:rPr>
        <w:t>Partnership expansion or M&amp;A interest — the Probody platform's validated science has attracted pharma partnerships, and positive clinical data could trigger acquisition interest from larger oncology companies seeking novel immuno-oncology platforms [2]</w:t>
      </w:r>
    </w:p>
    <w:p>
      <w:pPr>
        <w:spacing w:before="40" w:after="40"/>
        <w:ind w:left="283"/>
      </w:pPr>
      <w:r>
        <w:rPr>
          <w:rFonts w:ascii="Calibri" w:hAnsi="Calibri"/>
          <w:b/>
          <w:color w:val="4A6B25"/>
          <w:sz w:val="20"/>
        </w:rPr>
        <w:t xml:space="preserve">3. </w:t>
      </w:r>
      <w:r>
        <w:rPr>
          <w:rFonts w:ascii="Calibri" w:hAnsi="Calibri"/>
          <w:b w:val="0"/>
          <w:color w:val="3A4A28"/>
          <w:sz w:val="20"/>
        </w:rPr>
        <w:t>CX-801 melanoma clinical advancement — a second clinical candidate in a major cancer indication diversifies pipeline risk and demonstrates the breadth of the Probody platform beyond a single asset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Clinical failure risk — earlier Probody candidates CX-072 and CX-2009 failed to meet expectations, and the current pipeline (CX-2051, CX-801) faces the same inherent Phase 2/3 attrition risk that characterizes oncology drug development [1][3]</w:t>
      </w:r>
    </w:p>
    <w:p>
      <w:pPr>
        <w:spacing w:before="40" w:after="40"/>
        <w:ind w:left="283"/>
      </w:pPr>
      <w:r>
        <w:rPr>
          <w:rFonts w:ascii="Calibri" w:hAnsi="Calibri"/>
          <w:b/>
          <w:color w:val="4A6B25"/>
          <w:sz w:val="20"/>
        </w:rPr>
        <w:t xml:space="preserve">2. </w:t>
      </w:r>
      <w:r>
        <w:rPr>
          <w:rFonts w:ascii="Calibri" w:hAnsi="Calibri"/>
          <w:b w:val="0"/>
          <w:color w:val="3A4A28"/>
          <w:sz w:val="20"/>
        </w:rPr>
        <w:t>Cash burn and funding risk — ongoing operating losses with volatile partnership-dependent revenue create perpetual financing need, and additional equity raises at the current depressed $2.41 stock price would be severely dilutive to existing shareholders [1]</w:t>
      </w:r>
    </w:p>
    <w:p>
      <w:pPr>
        <w:spacing w:before="40" w:after="40"/>
        <w:ind w:left="283"/>
      </w:pPr>
      <w:r>
        <w:rPr>
          <w:rFonts w:ascii="Calibri" w:hAnsi="Calibri"/>
          <w:b/>
          <w:color w:val="4A6B25"/>
          <w:sz w:val="20"/>
        </w:rPr>
        <w:t xml:space="preserve">3. </w:t>
      </w:r>
      <w:r>
        <w:rPr>
          <w:rFonts w:ascii="Calibri" w:hAnsi="Calibri"/>
          <w:b w:val="0"/>
          <w:color w:val="3A4A28"/>
          <w:sz w:val="20"/>
        </w:rPr>
        <w:t>Litigation and governance overhang — shareholder lawsuits alleging misleading statements about earlier clinical candidates' efficacy and safety create legal liability and management distraction, with Sustainalytics ESG risk rating of 36.37 ('High') reflecting broader governance concerns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CytomX's Probody therapeutic platform involves proprietary conditionally activated biologics — complex protein engineering and biologics manufacturing that AI cannot replicate or replace [1][2]. Clinical trials require human subject testing under FDA oversight with multi-year timelines, and the regulatory approval process creates deep moats against technological disruption. However, AI-enhanced drug discovery at larger pharma competitors could accelerate development of competing masked antibody platforms, and AI-driven clinical trial optimization could narrow the speed advantage of specialized biotechs. The company is not fully IMMUNE because AI tools are increasingly being used in antibody engineering and protein design by larger, better-capitalized competitors. AI Opportunity (0/1): No AI-derived revenue or disclosed AI-powered drug discovery capabilities. CytomX's innovation is in biologics engineering, not AI-driven drug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CytomX Therapeutics Financial Performance — TTM Revenue ~$18.3M (-87%), Q1 $10.3M vs Q2 $1.4M, volatile milestone-driven revenue, D/E 1.9%, StockAnalysis/Benzinga/Barchart, 2026</w:t>
      </w:r>
    </w:p>
    <w:p>
      <w:pPr>
        <w:spacing w:before="20" w:after="20"/>
        <w:ind w:left="170"/>
      </w:pPr>
      <w:r>
        <w:rPr>
          <w:rFonts w:ascii="Calibri" w:hAnsi="Calibri"/>
          <w:b/>
          <w:color w:val="4A6B25"/>
          <w:sz w:val="15"/>
        </w:rPr>
        <w:t xml:space="preserve">2. </w:t>
      </w:r>
      <w:r>
        <w:rPr>
          <w:rFonts w:ascii="Calibri" w:hAnsi="Calibri"/>
          <w:b w:val="0"/>
          <w:color w:val="3A4A28"/>
          <w:sz w:val="17"/>
        </w:rPr>
        <w:t>CytomX Therapeutics Corporate Profile — CEO Sean McCarthy (since August 2011), COO Amy Peterson, CFO Chris Ogden, CBO Rachael Lester, Probody platform for conditionally activated biologics, GlobalData/StockTitan, 2024-2026</w:t>
      </w:r>
    </w:p>
    <w:p>
      <w:pPr>
        <w:spacing w:before="20" w:after="20"/>
        <w:ind w:left="170"/>
      </w:pPr>
      <w:r>
        <w:rPr>
          <w:rFonts w:ascii="Calibri" w:hAnsi="Calibri"/>
          <w:b/>
          <w:color w:val="4A6B25"/>
          <w:sz w:val="15"/>
        </w:rPr>
        <w:t xml:space="preserve">3. </w:t>
      </w:r>
      <w:r>
        <w:rPr>
          <w:rFonts w:ascii="Calibri" w:hAnsi="Calibri"/>
          <w:b w:val="0"/>
          <w:color w:val="3A4A28"/>
          <w:sz w:val="17"/>
        </w:rPr>
        <w:t>CytomX Therapeutics Litigation and ESG — Shareholder allegations of misleading statements on CX-072 and CX-2009, Sustainalytics ESG risk rating 36.37 (High), Robbins LLP/Saxo, 2020-2026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