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CTRE</w:t>
      </w:r>
      <w:r>
        <w:rPr>
          <w:rFonts w:ascii="Calibri" w:hAnsi="Calibri"/>
          <w:b/>
          <w:color w:val="1A2010"/>
          <w:sz w:val="40"/>
        </w:rPr>
        <w:t xml:space="preserve">  CareTrust REIT, Inc.</w:t>
      </w:r>
    </w:p>
    <w:p>
      <w:pPr>
        <w:spacing w:after="120"/>
      </w:pPr>
      <w:r>
        <w:rPr>
          <w:rFonts w:ascii="Calibri" w:hAnsi="Calibri"/>
          <w:b/>
          <w:color w:val="6E8450"/>
          <w:sz w:val="18"/>
        </w:rPr>
        <w:t>DIVIDEND SLEEVE · 2026-09-04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CareTrust REIT is a self-administered, publicly-traded real estate investment trust focused on the ownership, acquisition, financing, and leasing of skilled nursing, seniors housing, and other healthcare-related properties. The company generates revenue through triple-net lease arrangements with healthcare operators. Under CEO David Sedgwick (since January 2022), CareTrust has aggressively scaled its portfolio with $1.5B in year-to-date 2026 investments at an 8.7% blended yield. Q2 2026 revenues surged 43% YoY to $161.3M and normalized FFO grew 44% to $119.7M ($0.51/share). Full-year 2026 normalized FFO guidance of $2.03-2.06/share. The company recently increased its quarterly dividend 16% to $0.39/share.</w:t>
      </w:r>
    </w:p>
    <w:p>
      <w:r>
        <w:rPr>
          <w:rFonts w:ascii="Calibri" w:hAnsi="Calibri"/>
          <w:b/>
          <w:color w:val="6E8450"/>
          <w:sz w:val="18"/>
        </w:rPr>
        <w:t>80 Employees · https://www.caretrustreit.com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CareTrust has executed a transformative growth strategy over the last 3 years, deploying $1.5B year-to-date in 2026 alone at an 8.7% blended yield, dramatically expanding from a small healthcare REIT to a mid-cap with surging revenues (+43% YoY in Q2 2026) [1]. The January 2026 acquisition of six Mid-Atlantic skilled nursing facilities for $142M expanded geographic reach. This represents a meaningful business model transformation from a small, conservative REIT to an aggressive acquirer, though the underlying business model (triple-net leases on healthcare properties) remains unchanged. AI Deployment (0/2): No evidence of AI-powered products, AI-driven investment analytics, or quantified AI operational efficiencies. The company operates with a small team using traditional real estate underwriting and asset management approaches. Market Share (0/2): CareTrust is a growing but still mid-sized healthcare REIT, not a category leader. Larger competitors (Sabra, Omega Healthcare, Ventas) have greater scale and market presence [1]. Product Pipeline (1/2): Strong deal pipeline with continued acquisition activity — $1.5B deployed YTD at 8.7% yield with guidance increases suggesting further deal flow [1]. However, REIT acquisitions are investment pipeline, not product development. No specific next-gen platform or technology initiatives disclosed. R&amp;D Intensity (0/1): REITs do not have R&amp;D spending. CareTrust's innovation is in deal origination and underwriting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CareTrust's purpose connects capital to healthcare delivery — providing financing and real estate infrastructure for skilled nursing and seniors housing operators who care for vulnerable populations [1]. This mission is clear and connects to a societal need (aging population, healthcare access), but is functionally identical to any healthcare REIT's business description. The purpose does not articulate a vision of a better future beyond the obvious business model. Community Impact (0/2): The company's business inherently supports healthcare infrastructure in communities, but this is the business model, not philanthropy. No evidence of distinctive charitable programs, foundation activity, or community investment beyond routine corporate practices. Employee Retention (0/2): Small team (~80 employees) with recent promotions and new hires (Kyle Bennion, Dan Chin in investments and analytics) suggesting internal development [2]. However, no specific retention metrics available. Insider Buying (0/2): Over the last 3 years, zero insiders have bought stock and one insider has sold $1.04M worth [2]. Net selling by insiders undermines the inspiration narrative.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results reflecting CareTrust's financial profile. Debt-to-equity of 22% is well below the 70% target, scoring at maximum [3]. ROE of 8.07% scores 0.54 against the 15% target — adequate for a REIT but below the high bar. Revenue growth YoY of ~50% (blending 2025's 60.8% growth and Q2 2026's 43% growth) and 5yr CAGR of 13.7% both score at maximum, driven by aggressive acquisition-led growth [1]. Forward P/E of 24.22x scores 0.90 against the 20x target — a premium valuation reflecting high growth expectations. Net profit margin of 64.03% scores at maximum, reflecting the capital-light triple-net lease model [3]. Dividend metrics: payout ratio of ~95% (GAAP-based, typical for REITs distributing 90%+ of taxable income) scores poorly at 0.08, but consecutive years paid (12+ since 2014 spin-off) scores at maximum with 2x weight. Consecutive years growth of 5 scores 0.50, and 5yr dividend growth CAGR of 8.03% scores at maximum with 2x weight. Liquidity passes easily: avg daily volume ~2.2M shares at $40.38 = $88.8M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CareTrust REIT exhibits solid operational execution and aggressive growth, but operates within the fundamentally finite game framework of real estate investment — acquiring properties at attractive yields, optimizing portfolio composition, and growing FFO per share. CEO Sedgwick has demonstrated conviction through $1.5B in YTD investments, but the strategic playbook is financial optimization rather than purpose-driven transformation. The company lacks a compelling Just Cause beyond being a successful healthcare REIT, and insider selling rather than buying undermines leadership alignment with long-term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CareTrust's business provides essential healthcare infrastructure for skilled nursing and seniors housing — a genuine societal need connected to the aging population [1]. However, the company's public communications focus on deal metrics (yield, cap rates, portfolio composition) rather than patient outcomes or healthcare mission. The purpose is functionally a description of the REIT's business model, not a transformative vision. There is no articulated Just Cause that extends beyond being a financially successful healthcare real estate company.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Small, lean organization (~80 employees) with recent leadership developments — Derek Bunker promoted to CFO effective January 2026, and new hires Kyle Bennion and Dan Chin added in investments and analytics to support the growth strategy [2]. CEO Sedgwick has been in place since January 2022, providing stable leadership through the aggressive growth phase. The deliberate CEO-to-Chair succession for the retiring CFO suggests organizational planning. However, the small team size means limited cultural evidence, and no employee satisfaction or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CareTrust's management discusses competitors' strengths (Sabra, Omega Healthcare, Ventas) as motivation for self-improvement. The company's competitive narrative focuses on its own deal pipeline and yield metrics rather than engaging with what competitors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CareTrust has evolved its portfolio composition over time, expanding from a primarily skilled nursing-focused REIT to include seniors housing, behavioral health, and other healthcare property types [1]. The dramatic acceleration of acquisition activity ($1.5B YTD vs historically much smaller deal volumes) represents a significant strategic shift in scale and ambition. However, the fundamental business model (triple-net healthcare leases) has not changed since the 2014 spin-off from Ensign Group.</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Sedgwick has demonstrated conviction by deploying $1.5B in acquisitions year-to-date at an 8.7% blended yield, dramatically accelerating the company's growth trajectory during a period of interest rate uncertainty [1]. Raising the quarterly dividend 16% to $0.39/share signals confidence in the sustainability of the portfolio's cash flow generation. However, acquiring healthcare properties at attractive yields during a favorable market is more opportunistic than courageous — it's the core competency of the business model rather than a costly bet that sacrifices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CareTrust REIT is an aggressively growing healthcare REIT with exceptional momentum — Q2 2026 revenue up 43% YoY, normalized FFO up 44% to $0.51/share, and $1.5B deployed YTD at an 8.7% blended yield that exceeds the company's cost of capital [1]. The demographic tailwind of aging baby boomers provides a durable demand runway for skilled nursing and seniors housing facilities. Infrastructure scores 8/10 driven by exceptionally low leverage (22% D/E), industry-leading 64% profit margin from the triple-net lease model, and strong growth metrics [3]. AI Resilience scores 9/10 — physical healthcare real estate is structurally immune to AI disruption [1]. The 3.86% dividend yield with 8% five-year growth CAGR and a recent 16% increase to $0.39/quarter provides attractive and growing income. The Inspire Impact Score of 37 (ALIGNED) with zero negative attributions is favorable for faith-based allocation.</w:t>
      </w:r>
    </w:p>
    <w:p>
      <w:pPr>
        <w:spacing w:after="120"/>
      </w:pPr>
      <w:r>
        <w:rPr>
          <w:rFonts w:ascii="Calibri" w:hAnsi="Calibri"/>
          <w:b w:val="0"/>
          <w:color w:val="3A4A28"/>
          <w:sz w:val="20"/>
        </w:rPr>
        <w:t>The bear case centers on valuation, acquisition-dependent growth, and REIT structural risks. Forward P/E of 24.22x prices in substantial continued growth — any slowdown in acquisition activity or tightening of healthcare REIT cap rates could compress the premium multiple. Revenue growth is entirely acquisition-driven rather than organic; same-property revenue growth is minimal under triple-net leases with fixed escalators. ROE of only 8.07% reflects the capital-intensive nature of real estate ownership — shareholders are paying a premium for growth funded by equity issuance and debt. The GAAP payout ratio of ~95% leaves minimal retained earnings for self-funded growth, requiring ongoing access to capital markets. The 13 analyst consensus 'Strong Buy' and $45.15 price target suggest limited near-term upside from current levels of $40.38 [3]. Insider selling ($1.04M over 3 years) without any insider purchases raises questions about management's personal conviction in the stock at current prices. The company's growth is dependent on continued access to attractively-priced capital — any credit tightening or interest rate spike could choke the acquisition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acquisition pipeline execution at 8.7%+ blended yields, with $1.5B deployed YTD suggesting management has identified significant additional healthcare property opportunities at accretive cap rates [1]</w:t>
      </w:r>
    </w:p>
    <w:p>
      <w:pPr>
        <w:spacing w:before="40" w:after="40"/>
        <w:ind w:left="283"/>
      </w:pPr>
      <w:r>
        <w:rPr>
          <w:rFonts w:ascii="Calibri" w:hAnsi="Calibri"/>
          <w:b/>
          <w:color w:val="4A6B25"/>
          <w:sz w:val="20"/>
        </w:rPr>
        <w:t xml:space="preserve">2. </w:t>
      </w:r>
      <w:r>
        <w:rPr>
          <w:rFonts w:ascii="Calibri" w:hAnsi="Calibri"/>
          <w:b w:val="0"/>
          <w:color w:val="3A4A28"/>
          <w:sz w:val="20"/>
        </w:rPr>
        <w:t>Full-year 2026 FFO guidance of $2.03-2.06/share (already raised once) could be raised again as recently closed deals contribute full-quarter earnings, potentially driving consensus revisions upward [1]</w:t>
      </w:r>
    </w:p>
    <w:p>
      <w:pPr>
        <w:spacing w:before="40" w:after="40"/>
        <w:ind w:left="283"/>
      </w:pPr>
      <w:r>
        <w:rPr>
          <w:rFonts w:ascii="Calibri" w:hAnsi="Calibri"/>
          <w:b/>
          <w:color w:val="4A6B25"/>
          <w:sz w:val="20"/>
        </w:rPr>
        <w:t xml:space="preserve">3. </w:t>
      </w:r>
      <w:r>
        <w:rPr>
          <w:rFonts w:ascii="Calibri" w:hAnsi="Calibri"/>
          <w:b w:val="0"/>
          <w:color w:val="3A4A28"/>
          <w:sz w:val="20"/>
        </w:rPr>
        <w:t>Aging population demographics accelerating demand for skilled nursing and seniors housing — 10,000 baby boomers turning 65 daily through 2030, creating a structural demand runway for healthcare real estate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Acquisition-dependent growth model requires sustained capital market access — any credit tightening, equity dilution resistance, or cap rate compression could slow the deal pipeline that drives revenue and FFO growth [1]</w:t>
      </w:r>
    </w:p>
    <w:p>
      <w:pPr>
        <w:spacing w:before="40" w:after="40"/>
        <w:ind w:left="283"/>
      </w:pPr>
      <w:r>
        <w:rPr>
          <w:rFonts w:ascii="Calibri" w:hAnsi="Calibri"/>
          <w:b/>
          <w:color w:val="4A6B25"/>
          <w:sz w:val="20"/>
        </w:rPr>
        <w:t xml:space="preserve">2. </w:t>
      </w:r>
      <w:r>
        <w:rPr>
          <w:rFonts w:ascii="Calibri" w:hAnsi="Calibri"/>
          <w:b w:val="0"/>
          <w:color w:val="3A4A28"/>
          <w:sz w:val="20"/>
        </w:rPr>
        <w:t>Tenant concentration and operator risk — CareTrust depends on healthcare operators' financial health to pay rent under triple-net leases; a skilled nursing operator bankruptcy could create significant vacancy and NOI impairment</w:t>
      </w:r>
    </w:p>
    <w:p>
      <w:pPr>
        <w:spacing w:before="40" w:after="40"/>
        <w:ind w:left="283"/>
      </w:pPr>
      <w:r>
        <w:rPr>
          <w:rFonts w:ascii="Calibri" w:hAnsi="Calibri"/>
          <w:b/>
          <w:color w:val="4A6B25"/>
          <w:sz w:val="20"/>
        </w:rPr>
        <w:t xml:space="preserve">3. </w:t>
      </w:r>
      <w:r>
        <w:rPr>
          <w:rFonts w:ascii="Calibri" w:hAnsi="Calibri"/>
          <w:b w:val="0"/>
          <w:color w:val="3A4A28"/>
          <w:sz w:val="20"/>
        </w:rPr>
        <w:t>Premium valuation (24.22x forward P/E, 'Strong Buy' consensus, $45.15 target near current price) leaves limited margin of safety — any growth deceleration could trigger a meaningful de-rating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CareTrust REIT's core business — owning and leasing physical healthcare facilities under triple-net lease arrangements — is structurally immune to AI disruption. AI cannot replace physical buildings where patients receive skilled nursing care, rehabilitation, or seniors housing services [1]. The business involves real property ownership, long-term lease contracts, and deeply regulated healthcare operations that AI structurally cannot displace. If anything, AI advances in healthcare may increase demand for healthcare facilities by enabling more treatments, extending lifespans, and increasing the healthcare-dependent elderly population. The aging U.S. population (10,000 baby boomers turning 65 daily) is a demographic tailwind that AI cannot alter. CareTrust's triple-net lease model means the company does not even operate the facilities — it simply owns the real estate, making it even further removed from any AI operational risk. AI Opportunity (0/1): No AI-related revenue or products. The company is a pure real estate owner with no technology products or AI-enabled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CareTrust REIT Q2 2026 Earnings Call and Q1 2026 Results — Revenue $161.3M (+43% YoY), Normalized FFO $119.7M (+44%), $0.51/Share, $1.5B YTD Investments at 8.7% Yield, FY2026 FFO Guidance $2.03-2.06, Dividend Increased to $0.39/Quarter, August 2026</w:t>
      </w:r>
    </w:p>
    <w:p>
      <w:pPr>
        <w:spacing w:before="20" w:after="20"/>
        <w:ind w:left="170"/>
      </w:pPr>
      <w:r>
        <w:rPr>
          <w:rFonts w:ascii="Calibri" w:hAnsi="Calibri"/>
          <w:b/>
          <w:color w:val="4A6B25"/>
          <w:sz w:val="15"/>
        </w:rPr>
        <w:t xml:space="preserve">2. </w:t>
      </w:r>
      <w:r>
        <w:rPr>
          <w:rFonts w:ascii="Calibri" w:hAnsi="Calibri"/>
          <w:b w:val="0"/>
          <w:color w:val="3A4A28"/>
          <w:sz w:val="17"/>
        </w:rPr>
        <w:t>CareTrust REIT Leadership Changes and Acquisitions — CEO Sedgwick, CFO Bunker (Jan 2026), Mid-Atlantic SNF Acquisitions $142M, New Hires in Investments and Analytics, SimplyWallSt/GuruFocus, January-September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TipRanks — CTRE Key Statistics: Forward P/E 24.22x, D/E 22%, ROE 8.07%, Profit Margin 64.03%, Stock Price $40.38, Dividend $1.56/yr (3.86% Yield), 5yr Dividend Growth CAGR 8.03%, Insider Activity: 0 Buys / 1 Sell,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