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CUK</w:t>
      </w:r>
      <w:r>
        <w:rPr>
          <w:rFonts w:ascii="Calibri" w:hAnsi="Calibri"/>
          <w:b/>
          <w:color w:val="1A2010"/>
          <w:sz w:val="40"/>
        </w:rPr>
        <w:t xml:space="preserve">  Carnival Corporation &amp; plc</w:t>
      </w:r>
    </w:p>
    <w:p>
      <w:pPr>
        <w:spacing w:after="120"/>
      </w:pPr>
      <w:r>
        <w:rPr>
          <w:rFonts w:ascii="Calibri" w:hAnsi="Calibri"/>
          <w:b/>
          <w:color w:val="6E8450"/>
          <w:sz w:val="18"/>
        </w:rPr>
        <w:t>GROWTH SLEEVE · 2026-09-05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Travel Services — Cruise Lines · NYSE · United Kingdom</w:t>
      </w:r>
    </w:p>
    <w:p>
      <w:pPr>
        <w:spacing w:after="80"/>
      </w:pPr>
      <w:r>
        <w:rPr>
          <w:rFonts w:ascii="Calibri" w:hAnsi="Calibri"/>
          <w:b w:val="0"/>
          <w:color w:val="3A4A28"/>
          <w:sz w:val="20"/>
        </w:rPr>
        <w:t>Carnival Corporation &amp; plc operates as the world's largest cruise company with a fleet spanning nine brands including Carnival Cruise Line, Princess Cruises, Holland America Line, Costa Cruises, and P&amp;O Cruises. CUK represents the UK-listed P&amp;O shares of the dual-listed company (CCL is the U.S. counterpart). FY2025 delivered record revenues of $26.6B, record adjusted net income of $3.1B (+60%), and record adjusted EBITDA of $7.2B. The company carries $26.8B in debt from pandemic-era borrowing but has achieved 19-year high profitability and guides toward $3.45B net income in FY2026 (+12%). Customer deposits reached a record $6.1B.</w:t>
      </w:r>
    </w:p>
    <w:p>
      <w:r>
        <w:rPr>
          <w:rFonts w:ascii="Calibri" w:hAnsi="Calibri"/>
          <w:b/>
          <w:color w:val="6E8450"/>
          <w:sz w:val="18"/>
        </w:rPr>
        <w:t>160,000 Employees · https://www.carnivalcorp.com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Carnival's post-pandemic recovery has been operationally impressive — achieving record revenue ($26.6B), record adjusted net income ($3.1B, +60%), and record EBITDA ($7.2B) in FY2025, exceeding its SEA Change financial targets 18 months early [1]. However, this represents a recovery to and beyond pre-pandemic levels rather than product innovation or business model transformation. The company is running the same cruise business model with the same brands and route structure. AI Deployment (1/2): Carnival deployed Nice Enlighten AI for CX (generative AI for customer experience) in 2024 and is implementing an AI-driven supply chain platform for logistics, maintenance planning, and inventory management [3]. These are meaningful deployments that could affect cost structure and service quality. However, no specific AI-driven revenue or quantified cost savings have been publicly reported. Market Share (2/2): Carnival is the undisputed global cruise market leader with the largest fleet and passenger capacity, operating nine brands across every major market segment and geography. Record booking volumes for 2026 and 2027 at 'historical high prices' with customer deposits reaching an all-time $6.1B demonstrate sustained demand leadership [1][2]. Product Pipeline (1/2): The PROPEL initiative targets continued double-digit earnings growth through 2029 with new ship deliveries and capacity expansion, including LNG-powered next-generation vessels. However, timelines are general and cruise ship delivery schedules are standard industry cadence. R&amp;D Intensity (0/1): Hospitality/cruise industry has minimal formal R&amp;D intensity. Ship design and technology investments are capital expenditures, not research and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Carnival's purpose centers on delivering 'unforgettable happiness' to guests — clear about what the company does (provide joyful vacation experiences) but not distinctive within the hospitality/travel industry [2]. The mission could apply equally to Disney Cruises, Royal Caribbean, or any resort operator. CEO Josh Weinstein has articulated growth and financial targets (PROPEL initiative) more prominently than a deeper purpose beyond shareholder returns. Community Impact (1/2): Carnival operates disaster relief programs through its fleet, deploying ships for emergency aid during natural disasters, and has community investment initiatives including the Carnival Foundation [2]. However, the company's environmental track record significantly undermines its community contribution — Carnival has paid $80M+ in criminal fines for federal felony environmental violations including deliberately dumping oil-contaminated waste, falsifying environmental records, and discharging plastic waste in Bahamian waters across 620+ pollution incidents [4]. Employee Retention (0/2): With 160,000 employees across nine brands, no specific retention or turnover data is publicly available. The cruise industry faced significant workforce disruption during COVID, and shipboard labor practices in the broader industry have drawn scrutiny. Insider Buying (0/2): No notable net insider buying identified in recent quarters.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Carnival's financial profile is exceptionally strong post-recovery: ROE of 26.69% significantly exceeds the 15% target, reflecting high capital efficiency on the recovering asset base [5]. Forward P/E of ~11x is excellent (well below the 20x target), and PEG of approximately 1.0 is near the ideal target (scoring near 1.0 with 2x weight) [5]. FY2025 delivered record revenue of $26.6B with $3.1B adjusted net income and $7.2B adjusted EBITDA, guiding toward $3.45B net income in FY2026 (+12%) with ROIC exceeding 13.5% [1][2]. Profit margin of ~10.5% is moderate relative to the 20% target but strong for a capital-intensive cruise operator. Revenue growth of ~7% YoY is solid but below the 10% target as the post-COVID surge normalizes. D/E of 210% remains elevated from $26.8B in pandemic-era debt, scoring well below the 70% target — the primary infrastructure drag [5]. The company initiated a $2.5B share buyback program and reinstated dividends ($0.60/year), though the 1-year dividend track record is insufficient for Dividend sleeve classification. Liquidity floor cleared easily with $88M+ daily notional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Carnival operates with a predominantly finite game mindset. While the company's survival through near-bankruptcy during COVID demonstrated organizational resilience, the strategic emphasis since recovery has been on financial targets (PROPEL initiative), share buybacks, quarterly earnings beats, and market share dominance — all finite game markers. The 'unforgettable happiness' purpose is generic, leadership language centers on financial metrics rather than cause, and the company's egregious environmental record ($80M+ in felony fines for deliberate pollution and cover-ups) fundamentally contradicts infinite game principles of playing to endure rather than playing to win this quarter.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Carnival's purpose of delivering 'unforgettable happiness' through cruise experiences is genuine but shallow — it describes what the company does (entertainment) rather than why it exists beyond profit [2]. The cause is interchangeable with any hospitality company and hasn't driven transformative strategic decisions. The PROPEL initiative and $2.5B buyback program are financial targets, not cause-driven investments. The company's history of deliberate environmental crimes ($80M+ in fines for 620+ pollution incidents, falsifying environmental records) demonstrates that short-term cost savings were prioritized over any deeper organizational purpose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Josh Weinstein has provided stable leadership since August 2022, and the company has maintained operational continuity across nine brands and 160,000 employees through the pandemic recovery [2][3]. Glassdoor ratings of 3.6/5 suggest slightly above-average employee satisfaction, with some positive reviews citing 'inspiring and inclusive leadership' and 'investment in professional development' [3]. However, the cruise industry's hierarchical shipboard culture, the scale of COVID-era workforce disruptions (mass layoffs and rehiring), and the environmental compliance culture (senior management involvement in probation violations) create mixed trust dynamics.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Carnival's competitive language consistently focuses on maintaining market leadership, fleet superiority, and financial dominance rather than learning from competitors. The PROPEL initiative targets internal financial metrics rather than competitive improvement. Royal Caribbean has overtaken Carnival in innovation perception (Icon of the Seas, technology integration) but no evidence of Carnival management explicitly acknowledging Royal Caribbean's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Carnival has operated the same fundamental business model — large cruise ships carrying mass-market passengers — for over 50 years. Incremental adaptations (LNG-powered ships, expedition cruising niche, private island destinations) are evolutionary extensions of the core model, not transformative pivots. The company's response to the pandemic was survival-oriented debt financing ($35B+) rather than a strategic reimagining of the business. No evidence of willingness to abandon profitable existing lines in service of a deeper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Carnival's post-COVID strategy has been primarily focused on recovering margins, returning capital to shareholders ($2.5B buyback), and meeting financial targets (PROPEL initiative) [1][2]. No evidence of leadership sacrificing short-term performance for long-term capability building beyond standard fleet investment. The company's environmental record is the antithesis of courage — senior management was involved in probation violations, the company hired lobbyists to seek 'relief' from environmental crime penalties, and the pattern of deliberate pollution cover-ups demonstrates institutional prioritization of short-term cost savings over principled leadership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Carnival is the world's largest cruise company delivering record financial performance: FY2025 revenue of $26.6B, adjusted net income of $3.1B (+60%), and adjusted EBITDA of $7.2B (+$1B YoY) exceeded SEA Change targets 18 months early [1]. FY2026 guidance of $3.45B net income (+12%) with ROIC exceeding 13.5% signals sustained momentum. At ~11x forward earnings and PEG of ~1.0, the valuation is attractive for a market-dominant franchise with record customer deposits of $6.1B and 2026 bookings two-thirds complete at 'historical high prices' [2]. ROE of 26.69% demonstrates efficient capital utilization despite the debt load, and the $2.5B share buyback program provides meaningful EPS accretion. The Infrastructure score of 9/10 reflects genuinely strong financial metrics.</w:t>
      </w:r>
    </w:p>
    <w:p>
      <w:pPr>
        <w:spacing w:after="120"/>
      </w:pPr>
      <w:r>
        <w:rPr>
          <w:rFonts w:ascii="Calibri" w:hAnsi="Calibri"/>
          <w:b w:val="0"/>
          <w:color w:val="3A4A28"/>
          <w:sz w:val="20"/>
        </w:rPr>
        <w:t>The dominant risk is the $26.8B debt load (D/E 210%) — a pandemic legacy that creates $2B+ in annual interest expense, constrains balance sheet flexibility, and leaves the company vulnerable to any revenue disruption [5]. Revenue growth has moderated to ~7% as post-COVID booking surges normalize, and the company's 50-year operating history offers no evidence of business model innovation beyond incremental fleet evolution. The Inspiration score of 3/10 reflects a generic entertainment mission undermined by an egregious environmental record — $80M+ in federal felony fines for 620+ pollution incidents including deliberate oil dumping and records falsification, with senior management involved in probation violations [4]. The Infinite Game score of 3/10 reflects finite-game dominance: PROPEL financial targets, share buybacks, and market-share focus without a deeper organizational purpose. The Inspire Impact Score of -53 (MISALIGNED) will limit allocation for faith-based investors. Cyclical demand risk (recessions, geopolitical disruptions), rising fuel costs, and increasing environmental regulatory pressure create additional headwinds for a highly leveraged company with thin margins.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PROPEL initiative targets continued double-digit earnings growth through 2029 with fleet expansion, yield optimization, and $2.5B buyback program providing EPS accretion alongside record booking momentum [1][2]</w:t>
      </w:r>
    </w:p>
    <w:p>
      <w:pPr>
        <w:spacing w:before="40" w:after="40"/>
        <w:ind w:left="283"/>
      </w:pPr>
      <w:r>
        <w:rPr>
          <w:rFonts w:ascii="Calibri" w:hAnsi="Calibri"/>
          <w:b/>
          <w:color w:val="4A6B25"/>
          <w:sz w:val="20"/>
        </w:rPr>
        <w:t xml:space="preserve">2. </w:t>
      </w:r>
      <w:r>
        <w:rPr>
          <w:rFonts w:ascii="Calibri" w:hAnsi="Calibri"/>
          <w:b w:val="0"/>
          <w:color w:val="3A4A28"/>
          <w:sz w:val="20"/>
        </w:rPr>
        <w:t>Debt deleveraging toward investment-grade leverage metrics could reduce the $2B+ annual interest expense burden, significantly expanding net income and enabling credit rating upgrades that lower future borrowing costs [5]</w:t>
      </w:r>
    </w:p>
    <w:p>
      <w:pPr>
        <w:spacing w:before="40" w:after="40"/>
        <w:ind w:left="283"/>
      </w:pPr>
      <w:r>
        <w:rPr>
          <w:rFonts w:ascii="Calibri" w:hAnsi="Calibri"/>
          <w:b/>
          <w:color w:val="4A6B25"/>
          <w:sz w:val="20"/>
        </w:rPr>
        <w:t xml:space="preserve">3. </w:t>
      </w:r>
      <w:r>
        <w:rPr>
          <w:rFonts w:ascii="Calibri" w:hAnsi="Calibri"/>
          <w:b w:val="0"/>
          <w:color w:val="3A4A28"/>
          <w:sz w:val="20"/>
        </w:rPr>
        <w:t>Sustained premium pricing power with customer deposits at a record $6.1B (+7% YoY) and 2026 bookings two-thirds complete at historically high prices, suggesting cruise demand remains robust through the post-COVID normalization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210% with $26.8B in debt creates existential risk if a recession, pandemic, or geopolitical event disrupts cruise demand — the company nearly went bankrupt during COVID and has limited balance sheet cushion for another demand shock [5]</w:t>
      </w:r>
    </w:p>
    <w:p>
      <w:pPr>
        <w:spacing w:before="40" w:after="40"/>
        <w:ind w:left="283"/>
      </w:pPr>
      <w:r>
        <w:rPr>
          <w:rFonts w:ascii="Calibri" w:hAnsi="Calibri"/>
          <w:b/>
          <w:color w:val="4A6B25"/>
          <w:sz w:val="20"/>
        </w:rPr>
        <w:t xml:space="preserve">2. </w:t>
      </w:r>
      <w:r>
        <w:rPr>
          <w:rFonts w:ascii="Calibri" w:hAnsi="Calibri"/>
          <w:b w:val="0"/>
          <w:color w:val="3A4A28"/>
          <w:sz w:val="20"/>
        </w:rPr>
        <w:t>Environmental regulatory tightening (IMO carbon intensity targets, port emission restrictions, plastic waste regulations) poses increasing compliance costs and reputational risk for a company with $80M+ in felony environmental fines and 620+ documented pollution incidents [4]</w:t>
      </w:r>
    </w:p>
    <w:p>
      <w:pPr>
        <w:spacing w:before="40" w:after="40"/>
        <w:ind w:left="283"/>
      </w:pPr>
      <w:r>
        <w:rPr>
          <w:rFonts w:ascii="Calibri" w:hAnsi="Calibri"/>
          <w:b/>
          <w:color w:val="4A6B25"/>
          <w:sz w:val="20"/>
        </w:rPr>
        <w:t xml:space="preserve">3. </w:t>
      </w:r>
      <w:r>
        <w:rPr>
          <w:rFonts w:ascii="Calibri" w:hAnsi="Calibri"/>
          <w:b w:val="0"/>
          <w:color w:val="3A4A28"/>
          <w:sz w:val="20"/>
        </w:rPr>
        <w:t>Revenue growth moderating to ~7% as the post-COVID booking surge normalizes, combined with thin GAAP profit margins of ~10.5%, means small demand or pricing disruptions could significantly compress earnings in a downturn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Carnival's core business is structurally immune to AI disruption — cruise vacations require physical ships ($1B+ each), ports, hospitality staff, entertainment, and in-person experiences that AI cannot substitute [1]. The cruise industry involves massive capital-intensive infrastructure, complex global logistics across international waters, regulatory compliance across dozens of jurisdictions, and deeply human-centric service delivery. AI may even increase demand as AI-displaced knowledge workers seek experiential spending over goods. The environmental regulatory framework (IMO, EPA, MARPOL) creates additional physical-world compliance barriers. The modest AI risk comes from potential disruption to travel distribution (AI-powered booking platforms could shift power to aggregators) and AI-generated virtual entertainment experiences that could theoretically compete with experiential travel on the margin. AI Opportunity (0/1): While Carnival is deploying AI operationally (Nice Enlighten AI for CX, supply chain platform), no AI-specific revenue streams or quantified cost savings have been reported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-53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r>
        <w:rPr>
          <w:rFonts w:ascii="Calibri" w:hAnsi="Calibri"/>
          <w:b w:val="0"/>
          <w:color w:val="9DAF88"/>
          <w:sz w:val="17"/>
        </w:rPr>
        <w:t xml:space="preserve">  ·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Carnival FY2025 Record Results — Revenue $26.6B, Adj Net Income $3.1B (+60%), EBITDA $7.2B, Operating Income $4.5B, 19-Year High Profitability — Carnival IR, Cruise Industry News, December 2025</w:t>
      </w:r>
    </w:p>
    <w:p>
      <w:pPr>
        <w:spacing w:before="20" w:after="20"/>
        <w:ind w:left="170"/>
      </w:pPr>
      <w:r>
        <w:rPr>
          <w:rFonts w:ascii="Calibri" w:hAnsi="Calibri"/>
          <w:b/>
          <w:color w:val="4A6B25"/>
          <w:sz w:val="15"/>
        </w:rPr>
        <w:t xml:space="preserve">2. </w:t>
      </w:r>
      <w:r>
        <w:rPr>
          <w:rFonts w:ascii="Calibri" w:hAnsi="Calibri"/>
          <w:b w:val="0"/>
          <w:color w:val="3A4A28"/>
          <w:sz w:val="17"/>
        </w:rPr>
        <w:t>Carnival FY2026 Guidance &amp; Bookings — Net Income $3.45B (+12%), ROIC &gt;13.5%, Record Customer Deposits $6.1B, 2026 Bookings Two-Thirds Complete at Historic High Prices, $2.5B Buyback — Carnival IR, 2026</w:t>
      </w:r>
    </w:p>
    <w:p>
      <w:pPr>
        <w:spacing w:before="20" w:after="20"/>
        <w:ind w:left="170"/>
      </w:pPr>
      <w:r>
        <w:rPr>
          <w:rFonts w:ascii="Calibri" w:hAnsi="Calibri"/>
          <w:b/>
          <w:color w:val="4A6B25"/>
          <w:sz w:val="15"/>
        </w:rPr>
        <w:t xml:space="preserve">3. </w:t>
      </w:r>
      <w:r>
        <w:rPr>
          <w:rFonts w:ascii="Calibri" w:hAnsi="Calibri"/>
          <w:b w:val="0"/>
          <w:color w:val="3A4A28"/>
          <w:sz w:val="17"/>
        </w:rPr>
        <w:t>Carnival Leadership &amp; Digital Strategy — CEO Josh Weinstein since Aug 2022, Nice Enlighten AI for CX, AI Supply Chain Platform, Glassdoor 3.6/5 — Yahoo Finance, Glassdoor, 2025-2026</w:t>
      </w:r>
    </w:p>
    <w:p>
      <w:pPr>
        <w:spacing w:before="20" w:after="20"/>
        <w:ind w:left="170"/>
      </w:pPr>
      <w:r>
        <w:rPr>
          <w:rFonts w:ascii="Calibri" w:hAnsi="Calibri"/>
          <w:b/>
          <w:color w:val="4A6B25"/>
          <w:sz w:val="15"/>
        </w:rPr>
        <w:t xml:space="preserve">4. </w:t>
      </w:r>
      <w:r>
        <w:rPr>
          <w:rFonts w:ascii="Calibri" w:hAnsi="Calibri"/>
          <w:b w:val="0"/>
          <w:color w:val="3A4A28"/>
          <w:sz w:val="17"/>
        </w:rPr>
        <w:t>Carnival Environmental Record — $40M Fine (2017), $20M Fine (2019), $20M Probation Violations, 620+ Pollution Incidents, Federal Felony Convictions, Deliberate Oil Dumping and Records Falsification — Grist, NPR, Friends of the Earth, Florida Bulldog</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 CUK Key Statistics: Forward P/E ~11x, Trailing P/E 12.09, ROE 26.69%, D/E 210%, Debt $26.8B, Stock Price $27.47, PEG ~1.0,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