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CURX</w:t>
      </w:r>
      <w:r>
        <w:rPr>
          <w:rFonts w:ascii="Calibri" w:hAnsi="Calibri"/>
          <w:b/>
          <w:color w:val="1A2010"/>
          <w:sz w:val="40"/>
        </w:rPr>
        <w:t xml:space="preserve">  Curanex Pharmaceuticals Inc.</w:t>
      </w:r>
    </w:p>
    <w:p>
      <w:pPr>
        <w:spacing w:after="120"/>
      </w:pPr>
      <w:r>
        <w:rPr>
          <w:rFonts w:ascii="Calibri" w:hAnsi="Calibri"/>
          <w:b/>
          <w:color w:val="6E8450"/>
          <w:sz w:val="18"/>
        </w:rPr>
        <w:t>GROWTH SLEEVE · 2026-08-28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Curanex Pharmaceuticals (formerly Fordman Pharma Inc., renamed November 2023) is a developmental-stage pharmaceutical company that discovers, develops, and commercializes botanical drugs to treat patients suffering from inflammatory diseases. The lead compound Phyto-N is in pre-clinical development for ulcerative colitis (IND submission planned Q4 2026), atopic dermatitis, diabetes, nonalcoholic fatty liver disease, gout, acne, and cancer cachexia. The company completed GMP manufacturing and toxicology milestones in 2026 and appointed two veteran scientific advisors with 75+ combined years at Merck and Bristol Myers Squibb. Market cap is approximately $7.5M with zero commercial revenue.</w:t>
      </w:r>
    </w:p>
    <w:p>
      <w:r>
        <w:rPr>
          <w:rFonts w:ascii="Calibri" w:hAnsi="Calibri"/>
          <w:b/>
          <w:color w:val="6E8450"/>
          <w:sz w:val="18"/>
        </w:rPr>
        <w:t>10 Employees · https://curanexpharma.com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Curanex is a pre-clinical, developmental-stage company with no commercial products, no revenue, and no successful product launches or market pivots. The company was renamed from Fordman Pharma in November 2023, suggesting a recent strategic refocus rather than a track record of execution [1]. AI Deployment (0/2): No evidence of AI deployment in drug discovery, clinical operations, or any other business function. The company's botanical drug development approach is traditional rather than AI-driven. Market Share (0/2): No commercial products and therefore no market share in any therapeutic category. The company is pre-IND stage in its most advanced program (ulcerative colitis) [1]. Product Pipeline (1/2): Phyto-N for ulcerative colitis has a specific timeline — IND submission planned for Q4 2026 — supported by completed GMP manufacturing and toxicology milestones [1]. The pipeline expansion into cancer cachexia with case series data in thymic carcinoma, SCLC, and pancreatic cancer shows some pipeline breadth. The appointment of Dr. Daniel Pascheles (Merck) and Dr. Nicholas Meanwell (BMS) to the Scientific Advisory Board adds credibility [2]. However, these are very early-stage programs with years of clinical development ahead and high failure risk. R&amp;D Intensity (0/1): As a micro-cap pre-clinical company with minimal revenue, absolute R&amp;D spending is negligible compared to biotech industry standards.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Curanex's implicit purpose is developing botanical drugs to treat inflammatory diseases — a worthy healthcare objective that is inherently aligned with improving human health. However, no specific mission, vision, or purpose statement was found on company materials, and the objective is functionally identical to any small biotech company ('we develop drugs for patients') without articulating a deeper or distinctive purpose. Community Impact (0/2): No evidence of charitable programs, community investment, foundation activities, or any corporate social engagement beyond the drug development pipeline itself. This is consistent with a micro-cap, pre-clinical company focused entirely on survival and development milestones. Employee Retention (0/2): No voluntary turnover data, employee engagement information, or leadership tenure data available. The company is estimated to have approximately 10 employees, making traditional retention metrics impractical to assess. CEO Jun Liu commenced the role in 2024. Insider Buying (0/2): No evidence of insider buying or selling activity. As a micro-cap pre-clinical company, insider transaction data is extremely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Infrastructure score is forced to 0 regardless of other metrics. At a stock price of $0.20 and estimated average daily volume of approximately 50,000 shares, daily dollar volume is approximately $10,000 — far below the $1,000,000 minimum required by the IOWN liquidity floor [3]. The stock is too illiquid for IOWN to trade safely. Underlying metrics are also severely impaired: Curanex has zero revenue (developmental stage), negative net income (cash burn), negative ROE, no PE ratio (unprofitable), and a market capitalization of approximately $7.5M [3]. The company is entirely dependent on equity financing to fund operations through clinical development. No dividend metrics apply.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Curanex Pharmaceuticals is a pre-clinical micro-cap biotech in survival mode — its primary objective is advancing Phyto-N through IND submission and securing funding for clinical trials. At a $7.5M market cap with zero revenue, the company's existence depends on successful fundraising and clinical milestones, making long-term strategic thinking a luxury it cannot yet afford. There is no evidence of the kind of Just Cause, organizational culture, or competitive philosophy that characterizes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Curanex exists to develop botanical drugs for inflammatory diseases, which connects the company's work to improving patient lives. However, this purpose is interchangeable with any small biotech company and has not been articulated in a way that rises above the generic healthcare mission [1]. No specific vision of a better future, no evidence of the purpose shaping strategic decisions beyond obvious clinical development priorities, and the recent rename from Fordman Pharma suggests the company's identity and cause are still being defined.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organizational culture, employee engagement, or trust-building practices at Curanex. With an estimated 10 employees and a $7.5M market cap, the company is too small and too early-stage for meaningful assessment of organizational trust by Sinek's standards. CEO Jun Liu commenced the role in 2024, and no information about leadership style or organizational practices was found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philosophy or engagement with rivals. Curanex is a pre-clinical micro-cap that does not publicly discuss competitive dynamics, market positioning, or peer companies in a way that would reveal an infinite or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Curanex is too early-stage and too small to have faced the kind of strategic inflection point that tests existential flexibility. The rename from Fordman Pharma to Curanex Pharmaceuticals in November 2023 and the pipeline expansion to include cancer cachexia suggest some strategic evolution, but these are incremental adjustments to a pre-clinical company's focus rather than transformative pivots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principled decisions that sacrifice near-term performance. The appointment of veteran Merck/BMS advisors to the Scientific Advisory Board shows commitment to scientific rigor, but this is standard practice for biotech companies seeking credibility, not an example of courageous leadership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Curanex Pharmaceuticals at $0.20/share and a ~$7.5M market cap offers speculative optionality on Phyto-N, a botanical drug candidate for ulcerative colitis with an IND submission planned for Q4 2026, supported by completed GMP manufacturing and toxicology milestones [1]. The appointment of Dr. Daniel Pascheles (Merck veteran) and Dr. Nicholas Meanwell (BMS veteran) to the Scientific Advisory Board adds credibility to the scientific approach [2]. The pipeline expansion into cancer cachexia with early case series data in advanced cancers provides additional shots on goal. Botanical drugs represent a differentiated approach to drug development that could yield unique mechanism-of-action advantages in inflammatory disease.</w:t>
      </w:r>
    </w:p>
    <w:p>
      <w:pPr>
        <w:spacing w:after="120"/>
      </w:pPr>
      <w:r>
        <w:rPr>
          <w:rFonts w:ascii="Calibri" w:hAnsi="Calibri"/>
          <w:b w:val="0"/>
          <w:color w:val="3A4A28"/>
          <w:sz w:val="20"/>
        </w:rPr>
        <w:t>The bear case is overwhelming for all but the most speculative investors. Curanex is a pre-clinical, zero-revenue, $7.5M market cap company that fails the IOWN liquidity floor — daily dollar volume of approximately $10,000 makes the stock essentially untradeable for any institutional investor [3]. The company burns cash with no revenue, requires continuous equity financing to survive (diluting existing shareholders), and faces the well-documented 90%+ failure rate of pre-clinical drug candidates progressing through FDA clinical trials. Even a successful IND submission in Q4 2026 would be followed by years of Phase 1/2/3 clinical trials requiring tens to hundreds of millions of dollars the company does not have. Larger, well-funded competitors in inflammatory disease (AbbVie, J&amp;J, Pfizer) and AI-powered drug discovery platforms (Recursion, Insilico) can develop competing candidates faster and with vastly more resources. The Inspire Impact Score of 0 (MIXED) with no attributions in either direction reflects insufficient coverage of a micro-cap company. The SELL recommendation reflects the fundamental unsuitability of this stock for the IOWN framework due to illiquidity, zero revenue, and extreme development-stage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IND submission for Phyto-N in ulcerative colitis planned for Q4 2026 — FDA acceptance would validate the botanical drug approach and could trigger significant re-rating from the current $7.5M market cap [1]</w:t>
      </w:r>
    </w:p>
    <w:p>
      <w:pPr>
        <w:spacing w:before="40" w:after="40"/>
        <w:ind w:left="283"/>
      </w:pPr>
      <w:r>
        <w:rPr>
          <w:rFonts w:ascii="Calibri" w:hAnsi="Calibri"/>
          <w:b/>
          <w:color w:val="4A6B25"/>
          <w:sz w:val="20"/>
        </w:rPr>
        <w:t xml:space="preserve">2. </w:t>
      </w:r>
      <w:r>
        <w:rPr>
          <w:rFonts w:ascii="Calibri" w:hAnsi="Calibri"/>
          <w:b w:val="0"/>
          <w:color w:val="3A4A28"/>
          <w:sz w:val="20"/>
        </w:rPr>
        <w:t>Cancer cachexia case series data in advanced thymic carcinoma, SCLC, and pancreatic cancer could open a second therapeutic indication with high unmet medical need and orphan drug potential [1]</w:t>
      </w:r>
    </w:p>
    <w:p>
      <w:pPr>
        <w:spacing w:before="40" w:after="40"/>
        <w:ind w:left="283"/>
      </w:pPr>
      <w:r>
        <w:rPr>
          <w:rFonts w:ascii="Calibri" w:hAnsi="Calibri"/>
          <w:b/>
          <w:color w:val="4A6B25"/>
          <w:sz w:val="20"/>
        </w:rPr>
        <w:t xml:space="preserve">3. </w:t>
      </w:r>
      <w:r>
        <w:rPr>
          <w:rFonts w:ascii="Calibri" w:hAnsi="Calibri"/>
          <w:b w:val="0"/>
          <w:color w:val="3A4A28"/>
          <w:sz w:val="20"/>
        </w:rPr>
        <w:t>Scientific Advisory Board credentialing with Merck and BMS veterans (75+ combined years) could facilitate partnerships with larger pharmaceutical companies seeking botanical drug pipeline additions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daily dollar volume of ~$10,000 makes the stock untradeable for institutional investors, creating execution risk even for small positions, and the $0.20 stock price risks NASDAQ delisting if it remains below $1.00 for extended periods [3]</w:t>
      </w:r>
    </w:p>
    <w:p>
      <w:pPr>
        <w:spacing w:before="40" w:after="40"/>
        <w:ind w:left="283"/>
      </w:pPr>
      <w:r>
        <w:rPr>
          <w:rFonts w:ascii="Calibri" w:hAnsi="Calibri"/>
          <w:b/>
          <w:color w:val="4A6B25"/>
          <w:sz w:val="20"/>
        </w:rPr>
        <w:t xml:space="preserve">2. </w:t>
      </w:r>
      <w:r>
        <w:rPr>
          <w:rFonts w:ascii="Calibri" w:hAnsi="Calibri"/>
          <w:b w:val="0"/>
          <w:color w:val="3A4A28"/>
          <w:sz w:val="20"/>
        </w:rPr>
        <w:t>Zero revenue with continuous cash burn — the company is entirely dependent on equity financing, and each fundraising round dilutes existing shareholders; failure to raise capital would force shutdown of clinical programs [3]</w:t>
      </w:r>
    </w:p>
    <w:p>
      <w:pPr>
        <w:spacing w:before="40" w:after="40"/>
        <w:ind w:left="283"/>
      </w:pPr>
      <w:r>
        <w:rPr>
          <w:rFonts w:ascii="Calibri" w:hAnsi="Calibri"/>
          <w:b/>
          <w:color w:val="4A6B25"/>
          <w:sz w:val="20"/>
        </w:rPr>
        <w:t xml:space="preserve">3. </w:t>
      </w:r>
      <w:r>
        <w:rPr>
          <w:rFonts w:ascii="Calibri" w:hAnsi="Calibri"/>
          <w:b w:val="0"/>
          <w:color w:val="3A4A28"/>
          <w:sz w:val="20"/>
        </w:rPr>
        <w:t>Pre-clinical drug candidates face a 90%+ failure rate through the FDA approval process — even a successful IND submission in Q4 2026 would require years of clinical trials costing tens to hundreds of millions in capital the company does not currently have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Pharmaceutical drug development involves physical clinical trials, FDA regulatory review, manufacturing, and patient care that AI cannot replace — these structural protections apply to Curanex's pipeline [1]. However, Curanex's specific risk exposure comes from AI-powered drug discovery platforms at larger companies (Recursion, Insilico Medicine, BenevolentAI) that can screen and develop candidates for the same therapeutic areas (ulcerative colitis, atopic dermatitis) faster and at greater scale than Curanex's botanical approach. A well-funded AI-first competitor could identify and advance synthetic drug candidates for inflammatory diseases that outperform Phyto-N before Curanex completes its clinical program. The botanical/natural product approach is somewhat differentiated from AI-designed synthetic molecules, but the therapeutic endpoints are the same, creating substitution risk. AI Opportunity (0/1): Curanex does not employ AI in its drug discovery or development processes and generates no AI-related revenue. The company's approach is traditional botanical drug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Curanex Pharmaceuticals SEC Filings (10-Q FY2026) — GMP Manufacturing and Toxicology Milestones Complete, Q4 2026 IND Submission Planned for Ulcerative Colitis, Cancer Cachexia Pipeline Expansion — SEC EDGAR, 2026</w:t>
      </w:r>
    </w:p>
    <w:p>
      <w:pPr>
        <w:spacing w:before="20" w:after="20"/>
        <w:ind w:left="170"/>
      </w:pPr>
      <w:r>
        <w:rPr>
          <w:rFonts w:ascii="Calibri" w:hAnsi="Calibri"/>
          <w:b/>
          <w:color w:val="4A6B25"/>
          <w:sz w:val="15"/>
        </w:rPr>
        <w:t xml:space="preserve">2. </w:t>
      </w:r>
      <w:r>
        <w:rPr>
          <w:rFonts w:ascii="Calibri" w:hAnsi="Calibri"/>
          <w:b w:val="0"/>
          <w:color w:val="3A4A28"/>
          <w:sz w:val="17"/>
        </w:rPr>
        <w:t>Curanex Scientific Advisory Board — Dr. Daniel Pascheles (Merck) and Dr. Nicholas Meanwell (Bristol Myers Squibb), 75+ Combined Years Experience — GlobeNewsWire, March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Simply Wall St, Investing.com — CURX Key Statistics: Stock Price $0.20, Market Cap ~$7.5M, Avg Volume ~50K, Zero Revenue, Pre-Clinical Stage —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