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CVBF</w:t>
      </w:r>
      <w:r>
        <w:rPr>
          <w:rFonts w:ascii="Calibri" w:hAnsi="Calibri"/>
          <w:b/>
          <w:color w:val="1A2010"/>
          <w:sz w:val="40"/>
        </w:rPr>
        <w:t xml:space="preserve">  CVB Financial Corp.</w:t>
      </w:r>
    </w:p>
    <w:p>
      <w:pPr>
        <w:spacing w:after="120"/>
      </w:pPr>
      <w:r>
        <w:rPr>
          <w:rFonts w:ascii="Calibri" w:hAnsi="Calibri"/>
          <w:b/>
          <w:color w:val="6E8450"/>
          <w:sz w:val="18"/>
        </w:rPr>
        <w:t>DIVIDEND SLEEVE · 2026-09-19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CVB Financial Corp. is the holding company for Citizens Business Bank, one of the ten largest bank holding companies headquartered in California with more than $20 billion in total assets. The bank provides commercial banking, small business lending, treasury management, and trust services primarily to small and medium-sized businesses across Southern and Northern California. CVB completed its acquisition of Heritage Commerce Corp and Heritage Bank of Commerce on April 17, 2026, significantly expanding its footprint and asset base. Q2 2026 net income was $48.3M (EPS $0.29), and the company has a market cap of approximately $4.0B.</w:t>
      </w:r>
    </w:p>
    <w:p>
      <w:r>
        <w:rPr>
          <w:rFonts w:ascii="Calibri" w:hAnsi="Calibri"/>
          <w:b/>
          <w:color w:val="6E8450"/>
          <w:sz w:val="18"/>
        </w:rPr>
        <w:t>2,200 Employees · https://www.cbbank.com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CVB Financial completed its acquisition of Heritage Commerce Corp in April 2026, expanding to $20B+ in total assets and integrating Heritage Bank of Commerce's Northern California operations [1]. This is a meaningful strategic expansion but bank-to-bank acquisitions are standard practice in community banking, not a transformative business model pivot. AI Deployment (0/2): No AI-powered products or services identified. Citizens Business Bank has not publicly discussed AI deployment for customer-facing applications or internal efficiency gains. Market Share (1/2): CVB Financial is now one of the ten largest bank holding companies headquartered in California, with $20B+ in total assets post-Heritage acquisition [1]. This represents a meaningful market position in the competitive California banking market, though the bank is not a dominant category leader at the state level. Product Pipeline (0/2): No next-generation banking products announced with specific timelines. The Heritage integration represents organic growth through acquisition rather than new product development. R&amp;D Intensity (0/1): Banks do not typically disclose R&amp;D spending separately. No technology investment data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Citizens Business Bank positions itself around 'relationship-driven banking,' serving small and medium-sized businesses in California communities. The mission is clear and identifies the target customer base, and Clay Jones (President) explicitly emphasizes 'preserving the relationship-driven banking culture shared across the franchise' during the Heritage integration [2]. However, this is standard community banking positioning — not distinctive enough to differentiate from the hundreds of other community banks with similar purpose statements. Community Impact (0/2): No evidence of significant charitable programs, foundation-level giving, or distinctive community investment beyond standard CRA compliance. Employee Retention (1/2): Glassdoor rating of 3.9/5 stars is above average for the banking sector. Employees cite positive access to senior management and encouragement of ideas and strategies, suggesting a culture of inclusion [2]. However, concerns about advancement opportunities and compensation prevent a higher score. Insider Buying (0/2): No evidence of meaningful net insider buying identified in recent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excluded — null from yfinance, typical for bank holding companies where deposits distort the ratio). CVB Financial scores strongly on valuation and profitability: Forward P/E of 11.39x is well below the 20x target, and profit margin of 36.14% exceeds the 20% target — strong for a regional bank [4]. Revenue growth of 42% YoY is elevated due to the Heritage Commerce Corp acquisition (closed April 2026), with estimated 5-year organic revenue CAGR of approximately 6% [1]. The primary drag is ROE of 7.65%, below the 15% target, likely temporarily depressed by the Heritage acquisition adding goodwill to the equity base. Dividend metrics are solid: estimated 55.6% payout ratio, approximately 20 consecutive years of dividend payments, approximately 10 years of consecutive dividend growth, and estimated 5-year dividend growth CAGR of approximately 4%. The stock easily clears the liquidity floor with ~$32.1M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CVB Financial exhibits characteristics of a mixed-to-finite player. The company has a genuine commitment to relationship-driven community banking that has endured through multiple economic cycles, but this is more institutional inertia than a transformative Just Cause. The Heritage Commerce acquisition demonstrates willingness to invest for growth, and leadership stability (CEO David Brager since 2020) provides continuity. However, there is no evidence of courageous decisions that sacrificed short-term results for long-term purpose, no transformative strategic pivots, and the competitive posture is standard for community banking.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CVB Financial's purpose centers on relationship-driven banking for California businesses, which is genuine and has shaped the company's approach for decades. President Clay Jones emphasizes 'preserving the relationship-driven banking culture' during the Heritage integration, suggesting the cause actively influences strategic decisions [2]. However, this purpose is not distinctive — virtually every community bank claims relationship-driven banking. It describes what CVB does rather than articulating a vision of a future state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Citizens Business Bank's Glassdoor rating of 3.9/5 is above average for the banking industry. Employees specifically cite easy access to senior management and encouragement of ideas and strategies, suggesting some degree of psychological safety and empowerment [2]. CEO David Brager has led since 2020, providing leadership continuity. The Heritage integration has been described as preserving both organizations' cultures. However, concerns about advancement opportunities and compensation prevent a higher score, and no specific retention or tenure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CVB Financial's competitive discourse focuses on market positioning ('one of the ten largest bank holding companies in California') rather than learning from competitors' strengths [1]. The Heritage acquisition appears motivated by scale and market expansion rather than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CVB Financial has operated the same community banking business model for decades. The Heritage Commerce acquisition expanded the footprint and asset base but did not fundamentally reinvent the business. The company remains a traditional commercial bank focused on business lending and treasury management [1]. No evidence of strategic pivots, new business lines, or willingness to abandon legacy approaches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Heritage Commerce Corp acquisition in April 2026 represents a meaningful investment in long-term growth, requiring capital deployment, integration risk, and strategic commitment to expanding into Northern California [1]. This is a forward-looking decision that prioritizes future scale over near-term earnings stability, as Q2 EPS declined to $0.29 from $0.37 in the year-ago quarter partly due to acquisition-related costs. However, bank acquisitions are industry-standard growth strategies and do not rise to the level of principled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CVB Financial is a well-managed California community bank trading at an attractive Forward P/E of 11.39x with a 36.14% profit margin, 3.52% dividend yield, and strong dividend history (~20 consecutive years of payment, ~10 years of growth) [1][4]. The Heritage Commerce Corp acquisition (closed April 2026) scales the bank to $20B+ in total assets, making it one of the ten largest California-headquartered bank holding companies. Full-year revenue guidance of $3.27-3.30B and adjusted EBITDA of $120-125M reflect the expanded franchise. The Inspire Impact Score of 44 (ALIGNED) with positive attributions for Data Security and Systemic Risk Mitigation is strong for faith-based investors. Management's emphasis on preserving relationship-driven banking culture during integration provides continuity.</w:t>
      </w:r>
    </w:p>
    <w:p>
      <w:pPr>
        <w:spacing w:after="120"/>
      </w:pPr>
      <w:r>
        <w:rPr>
          <w:rFonts w:ascii="Calibri" w:hAnsi="Calibri"/>
          <w:b w:val="0"/>
          <w:color w:val="3A4A28"/>
          <w:sz w:val="20"/>
        </w:rPr>
        <w:t>The bear case centers on acquisition integration risk and muted organic growth. Q2 2026 EPS of $0.29 declined from $0.37 in the year-ago quarter, partly due to Heritage acquisition costs, and ROE of 7.65% is well below the 15% target — likely temporarily depressed by acquisition-related goodwill but signaling diluted returns on capital [1][4]. The 42% reported revenue growth is entirely acquisition-driven; organic revenue growth for community banks in California is likely low single digits. AI-driven disruption of commercial banking through fintech lending platforms, automated treasury management, and digital banking tools represents a medium-term competitive threat to relationship-based banking models [3]. CVB Financial has not disclosed any AI strategy, leaving it potentially exposed to more technologically advanced competitors. The Innovation score of 2 reflects a company that grows through acquisition rather than product innovation, and the bank operates in a highly competitive California market with both larger banks and emerging fintech competitors.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Heritage Commerce Corp integration could unlock cost synergies and cross-sell revenue across the expanded California footprint, driving ROE recovery toward historical levels above 10% [1]</w:t>
      </w:r>
    </w:p>
    <w:p>
      <w:pPr>
        <w:spacing w:before="40" w:after="40"/>
        <w:ind w:left="283"/>
      </w:pPr>
      <w:r>
        <w:rPr>
          <w:rFonts w:ascii="Calibri" w:hAnsi="Calibri"/>
          <w:b/>
          <w:color w:val="4A6B25"/>
          <w:sz w:val="20"/>
        </w:rPr>
        <w:t xml:space="preserve">2. </w:t>
      </w:r>
      <w:r>
        <w:rPr>
          <w:rFonts w:ascii="Calibri" w:hAnsi="Calibri"/>
          <w:b w:val="0"/>
          <w:color w:val="3A4A28"/>
          <w:sz w:val="20"/>
        </w:rPr>
        <w:t>Attractive valuation at 11.39x forward earnings with 3.52% dividend yield provides downside protection and income appeal in a declining interest rate environment</w:t>
      </w:r>
    </w:p>
    <w:p>
      <w:pPr>
        <w:spacing w:before="40" w:after="40"/>
        <w:ind w:left="283"/>
      </w:pPr>
      <w:r>
        <w:rPr>
          <w:rFonts w:ascii="Calibri" w:hAnsi="Calibri"/>
          <w:b/>
          <w:color w:val="4A6B25"/>
          <w:sz w:val="20"/>
        </w:rPr>
        <w:t xml:space="preserve">3. </w:t>
      </w:r>
      <w:r>
        <w:rPr>
          <w:rFonts w:ascii="Calibri" w:hAnsi="Calibri"/>
          <w:b w:val="0"/>
          <w:color w:val="3A4A28"/>
          <w:sz w:val="20"/>
        </w:rPr>
        <w:t>Expansion into Northern California through Heritage Bank of Commerce opens new business banking markets and diversifies geographic concentration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Heritage Commerce Corp integration risk — bank mergers frequently fail to deliver projected cost synergies, and cultural integration between two relationship-driven banks can disrupt client relationships and employee retention [1]</w:t>
      </w:r>
    </w:p>
    <w:p>
      <w:pPr>
        <w:spacing w:before="40" w:after="40"/>
        <w:ind w:left="283"/>
      </w:pPr>
      <w:r>
        <w:rPr>
          <w:rFonts w:ascii="Calibri" w:hAnsi="Calibri"/>
          <w:b/>
          <w:color w:val="4A6B25"/>
          <w:sz w:val="20"/>
        </w:rPr>
        <w:t xml:space="preserve">2. </w:t>
      </w:r>
      <w:r>
        <w:rPr>
          <w:rFonts w:ascii="Calibri" w:hAnsi="Calibri"/>
          <w:b w:val="0"/>
          <w:color w:val="3A4A28"/>
          <w:sz w:val="20"/>
        </w:rPr>
        <w:t>ROE depression to 7.65% from acquisition goodwill may persist if synergies are slow to materialize, keeping the stock undervalued relative to peers and potentially pressuring the dividend growth trajectory [4]</w:t>
      </w:r>
    </w:p>
    <w:p>
      <w:pPr>
        <w:spacing w:before="40" w:after="40"/>
        <w:ind w:left="283"/>
      </w:pPr>
      <w:r>
        <w:rPr>
          <w:rFonts w:ascii="Calibri" w:hAnsi="Calibri"/>
          <w:b/>
          <w:color w:val="4A6B25"/>
          <w:sz w:val="20"/>
        </w:rPr>
        <w:t xml:space="preserve">3. </w:t>
      </w:r>
      <w:r>
        <w:rPr>
          <w:rFonts w:ascii="Calibri" w:hAnsi="Calibri"/>
          <w:b w:val="0"/>
          <w:color w:val="3A4A28"/>
          <w:sz w:val="20"/>
        </w:rPr>
        <w:t>AI-driven fintech competition threatens the community banking model — AI-powered lending platforms and digital treasury management tools could erode the relationship advantages that differentiate Citizens Business Bank from larger and tech-forward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Citizens Business Bank's core business — commercial lending and treasury management for small and medium-sized businesses — is partially protected by relationship-driven banking practices, regulatory requirements (KYC/AML/BSA compliance), and the inherent complexity of commercial credit decisions that require judgment, local market knowledge, and personal trust [1]. These create meaningful switching costs and regulatory moats. However, the banking industry broadly faces AI disruption risk from fintech competitors, AI-powered lending platforms, and digital banking tools that can automate routine commercial banking functions like treasury management, loan underwriting, and account servicing [3]. Community banks without significant technology investment risk losing market share to larger banks deploying AI at scale and to neobank platforms that offer faster, cheaper commercial banking services. No specific analyst commentary on CVBF's AI vulnerability was identified. AI Opportunity (0/1): No AI-related revenue. Citizens Business Bank does not generate revenue from AI products or services and has not publicly discussed AI deployment initiatives.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CVB Financial Corp Q2 2026 Earnings Release — Net income $48.3M, EPS $0.29, Heritage Commerce Corp acquisition completed April 17, 2026, $20B+ total assets, July 2026</w:t>
      </w:r>
    </w:p>
    <w:p>
      <w:pPr>
        <w:spacing w:before="20" w:after="20"/>
        <w:ind w:left="170"/>
      </w:pPr>
      <w:r>
        <w:rPr>
          <w:rFonts w:ascii="Calibri" w:hAnsi="Calibri"/>
          <w:b/>
          <w:color w:val="4A6B25"/>
          <w:sz w:val="15"/>
        </w:rPr>
        <w:t xml:space="preserve">2. </w:t>
      </w:r>
      <w:r>
        <w:rPr>
          <w:rFonts w:ascii="Calibri" w:hAnsi="Calibri"/>
          <w:b w:val="0"/>
          <w:color w:val="3A4A28"/>
          <w:sz w:val="17"/>
        </w:rPr>
        <w:t>CVB Financial Leadership and Culture — CEO David Brager (since 2020), President Clay Jones, Glassdoor 3.9/5 (118 reviews), relationship-driven banking culture emphasis, 2026</w:t>
      </w:r>
    </w:p>
    <w:p>
      <w:pPr>
        <w:spacing w:before="20" w:after="20"/>
        <w:ind w:left="170"/>
      </w:pPr>
      <w:r>
        <w:rPr>
          <w:rFonts w:ascii="Calibri" w:hAnsi="Calibri"/>
          <w:b/>
          <w:color w:val="4A6B25"/>
          <w:sz w:val="15"/>
        </w:rPr>
        <w:t xml:space="preserve">3. </w:t>
      </w:r>
      <w:r>
        <w:rPr>
          <w:rFonts w:ascii="Calibri" w:hAnsi="Calibri"/>
          <w:b w:val="0"/>
          <w:color w:val="3A4A28"/>
          <w:sz w:val="17"/>
        </w:rPr>
        <w:t>Banking AI Disruption Analysis — PwC 'Future of Banking: How AI is Reshaping the Industry,' McKinsey 'Extracting Value from AI in Banking,' Federal Reserve Vice Chair Bowman speech on AI in financial system,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CVBF Key Statistics: Forward P/E 11.39x, ROE 7.65%, Profit Margin 36.14%, Revenue Growth 42%, Stock Price $22.70,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